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tblpY="1475"/>
        <w:tblOverlap w:val="never"/>
        <w:tblW w:w="7879" w:type="dxa"/>
        <w:tblCellMar>
          <w:left w:w="0" w:type="dxa"/>
          <w:right w:w="0" w:type="dxa"/>
        </w:tblCellMar>
        <w:tblLook w:val="04A0" w:firstRow="1" w:lastRow="0" w:firstColumn="1" w:lastColumn="0" w:noHBand="0" w:noVBand="1"/>
      </w:tblPr>
      <w:tblGrid>
        <w:gridCol w:w="7879"/>
      </w:tblGrid>
      <w:tr w:rsidR="00581CCB" w14:paraId="1FC697B2" w14:textId="77777777" w:rsidTr="00FC33CD">
        <w:trPr>
          <w:trHeight w:hRule="exact" w:val="421"/>
        </w:trPr>
        <w:tc>
          <w:tcPr>
            <w:tcW w:w="7879" w:type="dxa"/>
          </w:tcPr>
          <w:p w14:paraId="5940A353" w14:textId="77777777" w:rsidR="00581CCB" w:rsidRDefault="00DC2BC3" w:rsidP="007564ED">
            <w:pPr>
              <w:pStyle w:val="Coverconfidentiality"/>
            </w:pPr>
            <w:sdt>
              <w:sdtPr>
                <w:id w:val="405815754"/>
                <w:placeholder>
                  <w:docPart w:val="DCA507B7F86E4CB192102FEEE87D576F"/>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sdtContent>
                <w:r w:rsidR="006465BE">
                  <w:t>Public</w:t>
                </w:r>
              </w:sdtContent>
            </w:sdt>
          </w:p>
        </w:tc>
      </w:tr>
      <w:tr w:rsidR="00581CCB" w14:paraId="0EC4AF2E" w14:textId="77777777" w:rsidTr="00FC33CD">
        <w:trPr>
          <w:trHeight w:hRule="exact" w:val="2706"/>
        </w:trPr>
        <w:tc>
          <w:tcPr>
            <w:tcW w:w="7879" w:type="dxa"/>
          </w:tcPr>
          <w:p w14:paraId="20B65AC3" w14:textId="77777777" w:rsidR="00581CCB" w:rsidRPr="000562D9" w:rsidRDefault="00FC33CD" w:rsidP="000D6011">
            <w:pPr>
              <w:pStyle w:val="Covertitle"/>
              <w:rPr>
                <w:sz w:val="48"/>
                <w:szCs w:val="48"/>
              </w:rPr>
            </w:pPr>
            <w:bookmarkStart w:id="0" w:name="_GoBack"/>
            <w:r w:rsidRPr="000562D9">
              <w:rPr>
                <w:sz w:val="52"/>
              </w:rPr>
              <w:t xml:space="preserve">Risk Operating </w:t>
            </w:r>
            <w:r w:rsidR="00A759BF" w:rsidRPr="000562D9">
              <w:rPr>
                <w:sz w:val="52"/>
              </w:rPr>
              <w:t>Plan</w:t>
            </w:r>
            <w:r w:rsidR="0087300A" w:rsidRPr="000562D9">
              <w:rPr>
                <w:sz w:val="52"/>
              </w:rPr>
              <w:t xml:space="preserve"> 20</w:t>
            </w:r>
            <w:r w:rsidR="00006FDE">
              <w:rPr>
                <w:sz w:val="52"/>
              </w:rPr>
              <w:t>20</w:t>
            </w:r>
            <w:r w:rsidR="0087300A" w:rsidRPr="000562D9">
              <w:rPr>
                <w:sz w:val="52"/>
              </w:rPr>
              <w:t>/</w:t>
            </w:r>
            <w:r w:rsidR="00006FDE">
              <w:rPr>
                <w:sz w:val="52"/>
              </w:rPr>
              <w:t>21</w:t>
            </w:r>
            <w:r w:rsidR="00F61E61">
              <w:rPr>
                <w:sz w:val="52"/>
              </w:rPr>
              <w:t xml:space="preserve"> - Draft</w:t>
            </w:r>
            <w:bookmarkEnd w:id="0"/>
          </w:p>
        </w:tc>
      </w:tr>
      <w:tr w:rsidR="00581CCB" w14:paraId="3668B8DF" w14:textId="77777777" w:rsidTr="00FC33CD">
        <w:trPr>
          <w:trHeight w:hRule="exact" w:val="1253"/>
        </w:trPr>
        <w:tc>
          <w:tcPr>
            <w:tcW w:w="7879" w:type="dxa"/>
          </w:tcPr>
          <w:p w14:paraId="2A811E00" w14:textId="77777777" w:rsidR="00581CCB" w:rsidRDefault="00581CCB" w:rsidP="007564ED">
            <w:pPr>
              <w:pStyle w:val="Coversubtitle"/>
            </w:pPr>
          </w:p>
        </w:tc>
      </w:tr>
      <w:tr w:rsidR="00581CCB" w14:paraId="28896FDA" w14:textId="77777777" w:rsidTr="00FC33CD">
        <w:trPr>
          <w:trHeight w:hRule="exact" w:val="626"/>
        </w:trPr>
        <w:tc>
          <w:tcPr>
            <w:tcW w:w="7879" w:type="dxa"/>
          </w:tcPr>
          <w:p w14:paraId="6A8918CD" w14:textId="77777777" w:rsidR="00581CCB" w:rsidRDefault="00581CCB" w:rsidP="00F20C31">
            <w:pPr>
              <w:pStyle w:val="Coverdocumentnumber"/>
            </w:pPr>
          </w:p>
        </w:tc>
      </w:tr>
    </w:tbl>
    <w:p w14:paraId="3B94CFF1" w14:textId="77777777" w:rsidR="00581CCB" w:rsidRDefault="00581CCB" w:rsidP="00D20C99">
      <w:pPr>
        <w:pStyle w:val="BodyText"/>
      </w:pPr>
    </w:p>
    <w:p w14:paraId="56FA30E8" w14:textId="77777777" w:rsidR="006644B1" w:rsidRDefault="006644B1" w:rsidP="008C00CF">
      <w:pPr>
        <w:pStyle w:val="BodyText"/>
        <w:sectPr w:rsidR="006644B1" w:rsidSect="005A3992">
          <w:headerReference w:type="default" r:id="rId8"/>
          <w:footerReference w:type="default" r:id="rId9"/>
          <w:headerReference w:type="first" r:id="rId10"/>
          <w:footerReference w:type="first" r:id="rId11"/>
          <w:pgSz w:w="11906" w:h="16838" w:code="9"/>
          <w:pgMar w:top="1162" w:right="794" w:bottom="1928" w:left="794" w:header="879" w:footer="539" w:gutter="0"/>
          <w:cols w:space="708"/>
          <w:titlePg/>
          <w:docGrid w:linePitch="360"/>
        </w:sectPr>
      </w:pPr>
    </w:p>
    <w:p w14:paraId="573324BF" w14:textId="77777777" w:rsidR="00D20C99" w:rsidRDefault="00D20C99" w:rsidP="001216E1">
      <w:pPr>
        <w:pStyle w:val="Sectionheading"/>
      </w:pPr>
      <w:bookmarkStart w:id="1" w:name="_Toc35421305"/>
      <w:r w:rsidRPr="00D20C99">
        <w:lastRenderedPageBreak/>
        <w:t>Contents</w:t>
      </w:r>
      <w:bookmarkEnd w:id="1"/>
    </w:p>
    <w:p w14:paraId="6015A5E0" w14:textId="77777777" w:rsidR="003710E8" w:rsidRDefault="00E54311">
      <w:pPr>
        <w:pStyle w:val="TOC1"/>
        <w:rPr>
          <w:rFonts w:asciiTheme="minorHAnsi" w:eastAsiaTheme="minorEastAsia" w:hAnsiTheme="minorHAnsi" w:cstheme="minorBidi"/>
          <w:b w:val="0"/>
          <w:caps w:val="0"/>
          <w:noProof/>
          <w:color w:val="auto"/>
          <w:sz w:val="22"/>
          <w:szCs w:val="22"/>
          <w:lang w:eastAsia="en-GB"/>
        </w:rPr>
      </w:pPr>
      <w:r>
        <w:fldChar w:fldCharType="begin"/>
      </w:r>
      <w:r>
        <w:instrText xml:space="preserve"> TOC </w:instrText>
      </w:r>
      <w:r w:rsidR="006C0FA9">
        <w:instrText>\h \z \t "</w:instrText>
      </w:r>
      <w:r w:rsidR="006C0FA9" w:rsidRPr="006C0FA9">
        <w:instrText xml:space="preserve"> </w:instrText>
      </w:r>
      <w:r w:rsidR="00800323">
        <w:instrText>Section heading,1,Heading</w:instrText>
      </w:r>
      <w:r w:rsidR="006C0FA9">
        <w:instrText>,2</w:instrText>
      </w:r>
      <w:r w:rsidR="001D315D">
        <w:instrText>,</w:instrText>
      </w:r>
      <w:r w:rsidR="001D315D" w:rsidRPr="001D315D">
        <w:instrText>Number heading</w:instrText>
      </w:r>
      <w:r w:rsidR="001D315D">
        <w:instrText>,2</w:instrText>
      </w:r>
      <w:r w:rsidR="006C0FA9">
        <w:instrText xml:space="preserve"> </w:instrText>
      </w:r>
      <w:r>
        <w:instrText xml:space="preserve">" </w:instrText>
      </w:r>
      <w:r>
        <w:fldChar w:fldCharType="separate"/>
      </w:r>
      <w:hyperlink w:anchor="_Toc35421305" w:history="1">
        <w:r w:rsidR="003710E8" w:rsidRPr="00963AE1">
          <w:rPr>
            <w:rStyle w:val="Hyperlink"/>
            <w:noProof/>
          </w:rPr>
          <w:t>Contents</w:t>
        </w:r>
        <w:r w:rsidR="003710E8">
          <w:rPr>
            <w:noProof/>
            <w:webHidden/>
          </w:rPr>
          <w:tab/>
        </w:r>
        <w:r w:rsidR="003710E8">
          <w:rPr>
            <w:noProof/>
            <w:webHidden/>
          </w:rPr>
          <w:fldChar w:fldCharType="begin"/>
        </w:r>
        <w:r w:rsidR="003710E8">
          <w:rPr>
            <w:noProof/>
            <w:webHidden/>
          </w:rPr>
          <w:instrText xml:space="preserve"> PAGEREF _Toc35421305 \h </w:instrText>
        </w:r>
        <w:r w:rsidR="003710E8">
          <w:rPr>
            <w:noProof/>
            <w:webHidden/>
          </w:rPr>
        </w:r>
        <w:r w:rsidR="003710E8">
          <w:rPr>
            <w:noProof/>
            <w:webHidden/>
          </w:rPr>
          <w:fldChar w:fldCharType="separate"/>
        </w:r>
        <w:r w:rsidR="003710E8">
          <w:rPr>
            <w:noProof/>
            <w:webHidden/>
          </w:rPr>
          <w:t>2</w:t>
        </w:r>
        <w:r w:rsidR="003710E8">
          <w:rPr>
            <w:noProof/>
            <w:webHidden/>
          </w:rPr>
          <w:fldChar w:fldCharType="end"/>
        </w:r>
      </w:hyperlink>
    </w:p>
    <w:p w14:paraId="39897132" w14:textId="77777777" w:rsidR="003710E8" w:rsidRDefault="00DC2BC3">
      <w:pPr>
        <w:pStyle w:val="TOC1"/>
        <w:rPr>
          <w:rFonts w:asciiTheme="minorHAnsi" w:eastAsiaTheme="minorEastAsia" w:hAnsiTheme="minorHAnsi" w:cstheme="minorBidi"/>
          <w:b w:val="0"/>
          <w:caps w:val="0"/>
          <w:noProof/>
          <w:color w:val="auto"/>
          <w:sz w:val="22"/>
          <w:szCs w:val="22"/>
          <w:lang w:eastAsia="en-GB"/>
        </w:rPr>
      </w:pPr>
      <w:hyperlink w:anchor="_Toc35421306" w:history="1">
        <w:r w:rsidR="003710E8" w:rsidRPr="00963AE1">
          <w:rPr>
            <w:rStyle w:val="Hyperlink"/>
            <w:noProof/>
          </w:rPr>
          <w:t>introduction</w:t>
        </w:r>
        <w:r w:rsidR="003710E8">
          <w:rPr>
            <w:noProof/>
            <w:webHidden/>
          </w:rPr>
          <w:tab/>
        </w:r>
        <w:r w:rsidR="003710E8">
          <w:rPr>
            <w:noProof/>
            <w:webHidden/>
          </w:rPr>
          <w:fldChar w:fldCharType="begin"/>
        </w:r>
        <w:r w:rsidR="003710E8">
          <w:rPr>
            <w:noProof/>
            <w:webHidden/>
          </w:rPr>
          <w:instrText xml:space="preserve"> PAGEREF _Toc35421306 \h </w:instrText>
        </w:r>
        <w:r w:rsidR="003710E8">
          <w:rPr>
            <w:noProof/>
            <w:webHidden/>
          </w:rPr>
        </w:r>
        <w:r w:rsidR="003710E8">
          <w:rPr>
            <w:noProof/>
            <w:webHidden/>
          </w:rPr>
          <w:fldChar w:fldCharType="separate"/>
        </w:r>
        <w:r w:rsidR="003710E8">
          <w:rPr>
            <w:noProof/>
            <w:webHidden/>
          </w:rPr>
          <w:t>3</w:t>
        </w:r>
        <w:r w:rsidR="003710E8">
          <w:rPr>
            <w:noProof/>
            <w:webHidden/>
          </w:rPr>
          <w:fldChar w:fldCharType="end"/>
        </w:r>
      </w:hyperlink>
    </w:p>
    <w:p w14:paraId="68C85770"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07" w:history="1">
        <w:r w:rsidR="003710E8" w:rsidRPr="00963AE1">
          <w:rPr>
            <w:rStyle w:val="Hyperlink"/>
            <w:noProof/>
          </w:rPr>
          <w:t>ROP Ledger</w:t>
        </w:r>
        <w:r w:rsidR="003710E8">
          <w:rPr>
            <w:noProof/>
            <w:webHidden/>
          </w:rPr>
          <w:tab/>
        </w:r>
        <w:r w:rsidR="003710E8">
          <w:rPr>
            <w:noProof/>
            <w:webHidden/>
          </w:rPr>
          <w:fldChar w:fldCharType="begin"/>
        </w:r>
        <w:r w:rsidR="003710E8">
          <w:rPr>
            <w:noProof/>
            <w:webHidden/>
          </w:rPr>
          <w:instrText xml:space="preserve"> PAGEREF _Toc35421307 \h </w:instrText>
        </w:r>
        <w:r w:rsidR="003710E8">
          <w:rPr>
            <w:noProof/>
            <w:webHidden/>
          </w:rPr>
        </w:r>
        <w:r w:rsidR="003710E8">
          <w:rPr>
            <w:noProof/>
            <w:webHidden/>
          </w:rPr>
          <w:fldChar w:fldCharType="separate"/>
        </w:r>
        <w:r w:rsidR="003710E8">
          <w:rPr>
            <w:noProof/>
            <w:webHidden/>
          </w:rPr>
          <w:t>3</w:t>
        </w:r>
        <w:r w:rsidR="003710E8">
          <w:rPr>
            <w:noProof/>
            <w:webHidden/>
          </w:rPr>
          <w:fldChar w:fldCharType="end"/>
        </w:r>
      </w:hyperlink>
    </w:p>
    <w:p w14:paraId="68CF6071"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08" w:history="1">
        <w:r w:rsidR="003710E8" w:rsidRPr="00963AE1">
          <w:rPr>
            <w:rStyle w:val="Hyperlink"/>
            <w:noProof/>
          </w:rPr>
          <w:t>Where to find out more</w:t>
        </w:r>
        <w:r w:rsidR="003710E8">
          <w:rPr>
            <w:noProof/>
            <w:webHidden/>
          </w:rPr>
          <w:tab/>
        </w:r>
        <w:r w:rsidR="003710E8">
          <w:rPr>
            <w:noProof/>
            <w:webHidden/>
          </w:rPr>
          <w:fldChar w:fldCharType="begin"/>
        </w:r>
        <w:r w:rsidR="003710E8">
          <w:rPr>
            <w:noProof/>
            <w:webHidden/>
          </w:rPr>
          <w:instrText xml:space="preserve"> PAGEREF _Toc35421308 \h </w:instrText>
        </w:r>
        <w:r w:rsidR="003710E8">
          <w:rPr>
            <w:noProof/>
            <w:webHidden/>
          </w:rPr>
        </w:r>
        <w:r w:rsidR="003710E8">
          <w:rPr>
            <w:noProof/>
            <w:webHidden/>
          </w:rPr>
          <w:fldChar w:fldCharType="separate"/>
        </w:r>
        <w:r w:rsidR="003710E8">
          <w:rPr>
            <w:noProof/>
            <w:webHidden/>
          </w:rPr>
          <w:t>3</w:t>
        </w:r>
        <w:r w:rsidR="003710E8">
          <w:rPr>
            <w:noProof/>
            <w:webHidden/>
          </w:rPr>
          <w:fldChar w:fldCharType="end"/>
        </w:r>
      </w:hyperlink>
    </w:p>
    <w:p w14:paraId="76B3B972"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09" w:history="1">
        <w:r w:rsidR="003710E8" w:rsidRPr="00963AE1">
          <w:rPr>
            <w:rStyle w:val="Hyperlink"/>
            <w:noProof/>
          </w:rPr>
          <w:t>The PAB Strategy</w:t>
        </w:r>
        <w:r w:rsidR="003710E8">
          <w:rPr>
            <w:noProof/>
            <w:webHidden/>
          </w:rPr>
          <w:tab/>
        </w:r>
        <w:r w:rsidR="003710E8">
          <w:rPr>
            <w:noProof/>
            <w:webHidden/>
          </w:rPr>
          <w:fldChar w:fldCharType="begin"/>
        </w:r>
        <w:r w:rsidR="003710E8">
          <w:rPr>
            <w:noProof/>
            <w:webHidden/>
          </w:rPr>
          <w:instrText xml:space="preserve"> PAGEREF _Toc35421309 \h </w:instrText>
        </w:r>
        <w:r w:rsidR="003710E8">
          <w:rPr>
            <w:noProof/>
            <w:webHidden/>
          </w:rPr>
        </w:r>
        <w:r w:rsidR="003710E8">
          <w:rPr>
            <w:noProof/>
            <w:webHidden/>
          </w:rPr>
          <w:fldChar w:fldCharType="separate"/>
        </w:r>
        <w:r w:rsidR="003710E8">
          <w:rPr>
            <w:noProof/>
            <w:webHidden/>
          </w:rPr>
          <w:t>4</w:t>
        </w:r>
        <w:r w:rsidR="003710E8">
          <w:rPr>
            <w:noProof/>
            <w:webHidden/>
          </w:rPr>
          <w:fldChar w:fldCharType="end"/>
        </w:r>
      </w:hyperlink>
    </w:p>
    <w:p w14:paraId="67DE47EB"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10" w:history="1">
        <w:r w:rsidR="003710E8" w:rsidRPr="00963AE1">
          <w:rPr>
            <w:rStyle w:val="Hyperlink"/>
            <w:noProof/>
          </w:rPr>
          <w:t>Risk appetite</w:t>
        </w:r>
        <w:r w:rsidR="003710E8">
          <w:rPr>
            <w:noProof/>
            <w:webHidden/>
          </w:rPr>
          <w:tab/>
        </w:r>
        <w:r w:rsidR="003710E8">
          <w:rPr>
            <w:noProof/>
            <w:webHidden/>
          </w:rPr>
          <w:fldChar w:fldCharType="begin"/>
        </w:r>
        <w:r w:rsidR="003710E8">
          <w:rPr>
            <w:noProof/>
            <w:webHidden/>
          </w:rPr>
          <w:instrText xml:space="preserve"> PAGEREF _Toc35421310 \h </w:instrText>
        </w:r>
        <w:r w:rsidR="003710E8">
          <w:rPr>
            <w:noProof/>
            <w:webHidden/>
          </w:rPr>
        </w:r>
        <w:r w:rsidR="003710E8">
          <w:rPr>
            <w:noProof/>
            <w:webHidden/>
          </w:rPr>
          <w:fldChar w:fldCharType="separate"/>
        </w:r>
        <w:r w:rsidR="003710E8">
          <w:rPr>
            <w:noProof/>
            <w:webHidden/>
          </w:rPr>
          <w:t>4</w:t>
        </w:r>
        <w:r w:rsidR="003710E8">
          <w:rPr>
            <w:noProof/>
            <w:webHidden/>
          </w:rPr>
          <w:fldChar w:fldCharType="end"/>
        </w:r>
      </w:hyperlink>
    </w:p>
    <w:p w14:paraId="5579E5CD"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11" w:history="1">
        <w:r w:rsidR="003710E8" w:rsidRPr="00963AE1">
          <w:rPr>
            <w:rStyle w:val="Hyperlink"/>
            <w:noProof/>
          </w:rPr>
          <w:t>Within-period revisions</w:t>
        </w:r>
        <w:r w:rsidR="003710E8">
          <w:rPr>
            <w:noProof/>
            <w:webHidden/>
          </w:rPr>
          <w:tab/>
        </w:r>
        <w:r w:rsidR="003710E8">
          <w:rPr>
            <w:noProof/>
            <w:webHidden/>
          </w:rPr>
          <w:fldChar w:fldCharType="begin"/>
        </w:r>
        <w:r w:rsidR="003710E8">
          <w:rPr>
            <w:noProof/>
            <w:webHidden/>
          </w:rPr>
          <w:instrText xml:space="preserve"> PAGEREF _Toc35421311 \h </w:instrText>
        </w:r>
        <w:r w:rsidR="003710E8">
          <w:rPr>
            <w:noProof/>
            <w:webHidden/>
          </w:rPr>
        </w:r>
        <w:r w:rsidR="003710E8">
          <w:rPr>
            <w:noProof/>
            <w:webHidden/>
          </w:rPr>
          <w:fldChar w:fldCharType="separate"/>
        </w:r>
        <w:r w:rsidR="003710E8">
          <w:rPr>
            <w:noProof/>
            <w:webHidden/>
          </w:rPr>
          <w:t>5</w:t>
        </w:r>
        <w:r w:rsidR="003710E8">
          <w:rPr>
            <w:noProof/>
            <w:webHidden/>
          </w:rPr>
          <w:fldChar w:fldCharType="end"/>
        </w:r>
      </w:hyperlink>
    </w:p>
    <w:p w14:paraId="4071C4BC"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12" w:history="1">
        <w:r w:rsidR="003710E8" w:rsidRPr="00963AE1">
          <w:rPr>
            <w:rStyle w:val="Hyperlink"/>
            <w:noProof/>
          </w:rPr>
          <w:t>How we deliver the plan</w:t>
        </w:r>
        <w:r w:rsidR="003710E8">
          <w:rPr>
            <w:noProof/>
            <w:webHidden/>
          </w:rPr>
          <w:tab/>
        </w:r>
        <w:r w:rsidR="003710E8">
          <w:rPr>
            <w:noProof/>
            <w:webHidden/>
          </w:rPr>
          <w:fldChar w:fldCharType="begin"/>
        </w:r>
        <w:r w:rsidR="003710E8">
          <w:rPr>
            <w:noProof/>
            <w:webHidden/>
          </w:rPr>
          <w:instrText xml:space="preserve"> PAGEREF _Toc35421312 \h </w:instrText>
        </w:r>
        <w:r w:rsidR="003710E8">
          <w:rPr>
            <w:noProof/>
            <w:webHidden/>
          </w:rPr>
        </w:r>
        <w:r w:rsidR="003710E8">
          <w:rPr>
            <w:noProof/>
            <w:webHidden/>
          </w:rPr>
          <w:fldChar w:fldCharType="separate"/>
        </w:r>
        <w:r w:rsidR="003710E8">
          <w:rPr>
            <w:noProof/>
            <w:webHidden/>
          </w:rPr>
          <w:t>5</w:t>
        </w:r>
        <w:r w:rsidR="003710E8">
          <w:rPr>
            <w:noProof/>
            <w:webHidden/>
          </w:rPr>
          <w:fldChar w:fldCharType="end"/>
        </w:r>
      </w:hyperlink>
    </w:p>
    <w:p w14:paraId="67954346" w14:textId="77777777" w:rsidR="003710E8" w:rsidRDefault="00DC2BC3">
      <w:pPr>
        <w:pStyle w:val="TOC1"/>
        <w:rPr>
          <w:rFonts w:asciiTheme="minorHAnsi" w:eastAsiaTheme="minorEastAsia" w:hAnsiTheme="minorHAnsi" w:cstheme="minorBidi"/>
          <w:b w:val="0"/>
          <w:caps w:val="0"/>
          <w:noProof/>
          <w:color w:val="auto"/>
          <w:sz w:val="22"/>
          <w:szCs w:val="22"/>
          <w:lang w:eastAsia="en-GB"/>
        </w:rPr>
      </w:pPr>
      <w:hyperlink w:anchor="_Toc35421313" w:history="1">
        <w:r w:rsidR="003710E8" w:rsidRPr="00963AE1">
          <w:rPr>
            <w:rStyle w:val="Hyperlink"/>
            <w:noProof/>
          </w:rPr>
          <w:t>Executive summary</w:t>
        </w:r>
        <w:r w:rsidR="003710E8">
          <w:rPr>
            <w:noProof/>
            <w:webHidden/>
          </w:rPr>
          <w:tab/>
        </w:r>
        <w:r w:rsidR="003710E8">
          <w:rPr>
            <w:noProof/>
            <w:webHidden/>
          </w:rPr>
          <w:fldChar w:fldCharType="begin"/>
        </w:r>
        <w:r w:rsidR="003710E8">
          <w:rPr>
            <w:noProof/>
            <w:webHidden/>
          </w:rPr>
          <w:instrText xml:space="preserve"> PAGEREF _Toc35421313 \h </w:instrText>
        </w:r>
        <w:r w:rsidR="003710E8">
          <w:rPr>
            <w:noProof/>
            <w:webHidden/>
          </w:rPr>
        </w:r>
        <w:r w:rsidR="003710E8">
          <w:rPr>
            <w:noProof/>
            <w:webHidden/>
          </w:rPr>
          <w:fldChar w:fldCharType="separate"/>
        </w:r>
        <w:r w:rsidR="003710E8">
          <w:rPr>
            <w:noProof/>
            <w:webHidden/>
          </w:rPr>
          <w:t>6</w:t>
        </w:r>
        <w:r w:rsidR="003710E8">
          <w:rPr>
            <w:noProof/>
            <w:webHidden/>
          </w:rPr>
          <w:fldChar w:fldCharType="end"/>
        </w:r>
      </w:hyperlink>
    </w:p>
    <w:p w14:paraId="6442D29B"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14" w:history="1">
        <w:r w:rsidR="003710E8" w:rsidRPr="00963AE1">
          <w:rPr>
            <w:rStyle w:val="Hyperlink"/>
            <w:noProof/>
          </w:rPr>
          <w:t>Performance in 2019/20</w:t>
        </w:r>
        <w:r w:rsidR="003710E8">
          <w:rPr>
            <w:noProof/>
            <w:webHidden/>
          </w:rPr>
          <w:tab/>
        </w:r>
        <w:r w:rsidR="003710E8">
          <w:rPr>
            <w:noProof/>
            <w:webHidden/>
          </w:rPr>
          <w:fldChar w:fldCharType="begin"/>
        </w:r>
        <w:r w:rsidR="003710E8">
          <w:rPr>
            <w:noProof/>
            <w:webHidden/>
          </w:rPr>
          <w:instrText xml:space="preserve"> PAGEREF _Toc35421314 \h </w:instrText>
        </w:r>
        <w:r w:rsidR="003710E8">
          <w:rPr>
            <w:noProof/>
            <w:webHidden/>
          </w:rPr>
        </w:r>
        <w:r w:rsidR="003710E8">
          <w:rPr>
            <w:noProof/>
            <w:webHidden/>
          </w:rPr>
          <w:fldChar w:fldCharType="separate"/>
        </w:r>
        <w:r w:rsidR="003710E8">
          <w:rPr>
            <w:noProof/>
            <w:webHidden/>
          </w:rPr>
          <w:t>6</w:t>
        </w:r>
        <w:r w:rsidR="003710E8">
          <w:rPr>
            <w:noProof/>
            <w:webHidden/>
          </w:rPr>
          <w:fldChar w:fldCharType="end"/>
        </w:r>
      </w:hyperlink>
    </w:p>
    <w:p w14:paraId="72968003"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15" w:history="1">
        <w:r w:rsidR="003710E8" w:rsidRPr="00963AE1">
          <w:rPr>
            <w:rStyle w:val="Hyperlink"/>
            <w:noProof/>
          </w:rPr>
          <w:t>Areas for focus 2020/21</w:t>
        </w:r>
        <w:r w:rsidR="003710E8">
          <w:rPr>
            <w:noProof/>
            <w:webHidden/>
          </w:rPr>
          <w:tab/>
        </w:r>
        <w:r w:rsidR="003710E8">
          <w:rPr>
            <w:noProof/>
            <w:webHidden/>
          </w:rPr>
          <w:fldChar w:fldCharType="begin"/>
        </w:r>
        <w:r w:rsidR="003710E8">
          <w:rPr>
            <w:noProof/>
            <w:webHidden/>
          </w:rPr>
          <w:instrText xml:space="preserve"> PAGEREF _Toc35421315 \h </w:instrText>
        </w:r>
        <w:r w:rsidR="003710E8">
          <w:rPr>
            <w:noProof/>
            <w:webHidden/>
          </w:rPr>
        </w:r>
        <w:r w:rsidR="003710E8">
          <w:rPr>
            <w:noProof/>
            <w:webHidden/>
          </w:rPr>
          <w:fldChar w:fldCharType="separate"/>
        </w:r>
        <w:r w:rsidR="003710E8">
          <w:rPr>
            <w:noProof/>
            <w:webHidden/>
          </w:rPr>
          <w:t>8</w:t>
        </w:r>
        <w:r w:rsidR="003710E8">
          <w:rPr>
            <w:noProof/>
            <w:webHidden/>
          </w:rPr>
          <w:fldChar w:fldCharType="end"/>
        </w:r>
      </w:hyperlink>
    </w:p>
    <w:p w14:paraId="12B9EF06"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16" w:history="1">
        <w:r w:rsidR="003710E8" w:rsidRPr="00963AE1">
          <w:rPr>
            <w:rStyle w:val="Hyperlink"/>
            <w:noProof/>
          </w:rPr>
          <w:t>Overall forecast</w:t>
        </w:r>
        <w:r w:rsidR="003710E8">
          <w:rPr>
            <w:noProof/>
            <w:webHidden/>
          </w:rPr>
          <w:tab/>
        </w:r>
        <w:r w:rsidR="003710E8">
          <w:rPr>
            <w:noProof/>
            <w:webHidden/>
          </w:rPr>
          <w:fldChar w:fldCharType="begin"/>
        </w:r>
        <w:r w:rsidR="003710E8">
          <w:rPr>
            <w:noProof/>
            <w:webHidden/>
          </w:rPr>
          <w:instrText xml:space="preserve"> PAGEREF _Toc35421316 \h </w:instrText>
        </w:r>
        <w:r w:rsidR="003710E8">
          <w:rPr>
            <w:noProof/>
            <w:webHidden/>
          </w:rPr>
        </w:r>
        <w:r w:rsidR="003710E8">
          <w:rPr>
            <w:noProof/>
            <w:webHidden/>
          </w:rPr>
          <w:fldChar w:fldCharType="separate"/>
        </w:r>
        <w:r w:rsidR="003710E8">
          <w:rPr>
            <w:noProof/>
            <w:webHidden/>
          </w:rPr>
          <w:t>8</w:t>
        </w:r>
        <w:r w:rsidR="003710E8">
          <w:rPr>
            <w:noProof/>
            <w:webHidden/>
          </w:rPr>
          <w:fldChar w:fldCharType="end"/>
        </w:r>
      </w:hyperlink>
    </w:p>
    <w:p w14:paraId="02137D72" w14:textId="77777777" w:rsidR="003710E8" w:rsidRDefault="00DC2BC3">
      <w:pPr>
        <w:pStyle w:val="TOC1"/>
        <w:rPr>
          <w:rFonts w:asciiTheme="minorHAnsi" w:eastAsiaTheme="minorEastAsia" w:hAnsiTheme="minorHAnsi" w:cstheme="minorBidi"/>
          <w:b w:val="0"/>
          <w:caps w:val="0"/>
          <w:noProof/>
          <w:color w:val="auto"/>
          <w:sz w:val="22"/>
          <w:szCs w:val="22"/>
          <w:lang w:eastAsia="en-GB"/>
        </w:rPr>
      </w:pPr>
      <w:hyperlink w:anchor="_Toc35421317" w:history="1">
        <w:r w:rsidR="003710E8" w:rsidRPr="00963AE1">
          <w:rPr>
            <w:rStyle w:val="Hyperlink"/>
            <w:noProof/>
          </w:rPr>
          <w:t>Performance Assurance Techniques</w:t>
        </w:r>
        <w:r w:rsidR="003710E8">
          <w:rPr>
            <w:noProof/>
            <w:webHidden/>
          </w:rPr>
          <w:tab/>
        </w:r>
        <w:r w:rsidR="003710E8">
          <w:rPr>
            <w:noProof/>
            <w:webHidden/>
          </w:rPr>
          <w:fldChar w:fldCharType="begin"/>
        </w:r>
        <w:r w:rsidR="003710E8">
          <w:rPr>
            <w:noProof/>
            <w:webHidden/>
          </w:rPr>
          <w:instrText xml:space="preserve"> PAGEREF _Toc35421317 \h </w:instrText>
        </w:r>
        <w:r w:rsidR="003710E8">
          <w:rPr>
            <w:noProof/>
            <w:webHidden/>
          </w:rPr>
        </w:r>
        <w:r w:rsidR="003710E8">
          <w:rPr>
            <w:noProof/>
            <w:webHidden/>
          </w:rPr>
          <w:fldChar w:fldCharType="separate"/>
        </w:r>
        <w:r w:rsidR="003710E8">
          <w:rPr>
            <w:noProof/>
            <w:webHidden/>
          </w:rPr>
          <w:t>9</w:t>
        </w:r>
        <w:r w:rsidR="003710E8">
          <w:rPr>
            <w:noProof/>
            <w:webHidden/>
          </w:rPr>
          <w:fldChar w:fldCharType="end"/>
        </w:r>
      </w:hyperlink>
    </w:p>
    <w:p w14:paraId="40C01DBC" w14:textId="77777777" w:rsidR="003710E8" w:rsidRDefault="00DC2BC3">
      <w:pPr>
        <w:pStyle w:val="TOC1"/>
        <w:rPr>
          <w:rFonts w:asciiTheme="minorHAnsi" w:eastAsiaTheme="minorEastAsia" w:hAnsiTheme="minorHAnsi" w:cstheme="minorBidi"/>
          <w:b w:val="0"/>
          <w:caps w:val="0"/>
          <w:noProof/>
          <w:color w:val="auto"/>
          <w:sz w:val="22"/>
          <w:szCs w:val="22"/>
          <w:lang w:eastAsia="en-GB"/>
        </w:rPr>
      </w:pPr>
      <w:hyperlink w:anchor="_Toc35421318" w:history="1">
        <w:r w:rsidR="003710E8" w:rsidRPr="00963AE1">
          <w:rPr>
            <w:rStyle w:val="Hyperlink"/>
            <w:noProof/>
          </w:rPr>
          <w:t>planned performance assurance technique deployment</w:t>
        </w:r>
        <w:r w:rsidR="003710E8">
          <w:rPr>
            <w:noProof/>
            <w:webHidden/>
          </w:rPr>
          <w:tab/>
        </w:r>
        <w:r w:rsidR="003710E8">
          <w:rPr>
            <w:noProof/>
            <w:webHidden/>
          </w:rPr>
          <w:fldChar w:fldCharType="begin"/>
        </w:r>
        <w:r w:rsidR="003710E8">
          <w:rPr>
            <w:noProof/>
            <w:webHidden/>
          </w:rPr>
          <w:instrText xml:space="preserve"> PAGEREF _Toc35421318 \h </w:instrText>
        </w:r>
        <w:r w:rsidR="003710E8">
          <w:rPr>
            <w:noProof/>
            <w:webHidden/>
          </w:rPr>
        </w:r>
        <w:r w:rsidR="003710E8">
          <w:rPr>
            <w:noProof/>
            <w:webHidden/>
          </w:rPr>
          <w:fldChar w:fldCharType="separate"/>
        </w:r>
        <w:r w:rsidR="003710E8">
          <w:rPr>
            <w:noProof/>
            <w:webHidden/>
          </w:rPr>
          <w:t>11</w:t>
        </w:r>
        <w:r w:rsidR="003710E8">
          <w:rPr>
            <w:noProof/>
            <w:webHidden/>
          </w:rPr>
          <w:fldChar w:fldCharType="end"/>
        </w:r>
      </w:hyperlink>
    </w:p>
    <w:p w14:paraId="25418C4B"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19" w:history="1">
        <w:r w:rsidR="003710E8" w:rsidRPr="00963AE1">
          <w:rPr>
            <w:rStyle w:val="Hyperlink"/>
            <w:noProof/>
          </w:rPr>
          <w:t>Risk Operating Plan for focussed risks</w:t>
        </w:r>
        <w:r w:rsidR="003710E8">
          <w:rPr>
            <w:noProof/>
            <w:webHidden/>
          </w:rPr>
          <w:tab/>
        </w:r>
        <w:r w:rsidR="003710E8">
          <w:rPr>
            <w:noProof/>
            <w:webHidden/>
          </w:rPr>
          <w:fldChar w:fldCharType="begin"/>
        </w:r>
        <w:r w:rsidR="003710E8">
          <w:rPr>
            <w:noProof/>
            <w:webHidden/>
          </w:rPr>
          <w:instrText xml:space="preserve"> PAGEREF _Toc35421319 \h </w:instrText>
        </w:r>
        <w:r w:rsidR="003710E8">
          <w:rPr>
            <w:noProof/>
            <w:webHidden/>
          </w:rPr>
        </w:r>
        <w:r w:rsidR="003710E8">
          <w:rPr>
            <w:noProof/>
            <w:webHidden/>
          </w:rPr>
          <w:fldChar w:fldCharType="separate"/>
        </w:r>
        <w:r w:rsidR="003710E8">
          <w:rPr>
            <w:noProof/>
            <w:webHidden/>
          </w:rPr>
          <w:t>12</w:t>
        </w:r>
        <w:r w:rsidR="003710E8">
          <w:rPr>
            <w:noProof/>
            <w:webHidden/>
          </w:rPr>
          <w:fldChar w:fldCharType="end"/>
        </w:r>
      </w:hyperlink>
    </w:p>
    <w:p w14:paraId="5EAFDF4D"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20" w:history="1">
        <w:r w:rsidR="003710E8" w:rsidRPr="00963AE1">
          <w:rPr>
            <w:rStyle w:val="Hyperlink"/>
            <w:noProof/>
          </w:rPr>
          <w:t>Risk Operating Plan for Events</w:t>
        </w:r>
        <w:r w:rsidR="003710E8">
          <w:rPr>
            <w:noProof/>
            <w:webHidden/>
          </w:rPr>
          <w:tab/>
        </w:r>
        <w:r w:rsidR="003710E8">
          <w:rPr>
            <w:noProof/>
            <w:webHidden/>
          </w:rPr>
          <w:fldChar w:fldCharType="begin"/>
        </w:r>
        <w:r w:rsidR="003710E8">
          <w:rPr>
            <w:noProof/>
            <w:webHidden/>
          </w:rPr>
          <w:instrText xml:space="preserve"> PAGEREF _Toc35421320 \h </w:instrText>
        </w:r>
        <w:r w:rsidR="003710E8">
          <w:rPr>
            <w:noProof/>
            <w:webHidden/>
          </w:rPr>
        </w:r>
        <w:r w:rsidR="003710E8">
          <w:rPr>
            <w:noProof/>
            <w:webHidden/>
          </w:rPr>
          <w:fldChar w:fldCharType="separate"/>
        </w:r>
        <w:r w:rsidR="003710E8">
          <w:rPr>
            <w:noProof/>
            <w:webHidden/>
          </w:rPr>
          <w:t>16</w:t>
        </w:r>
        <w:r w:rsidR="003710E8">
          <w:rPr>
            <w:noProof/>
            <w:webHidden/>
          </w:rPr>
          <w:fldChar w:fldCharType="end"/>
        </w:r>
      </w:hyperlink>
    </w:p>
    <w:p w14:paraId="1C1686CF"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21" w:history="1">
        <w:r w:rsidR="003710E8" w:rsidRPr="00963AE1">
          <w:rPr>
            <w:rStyle w:val="Hyperlink"/>
            <w:noProof/>
          </w:rPr>
          <w:t>Focussed Risks Calendar</w:t>
        </w:r>
        <w:r w:rsidR="003710E8">
          <w:rPr>
            <w:noProof/>
            <w:webHidden/>
          </w:rPr>
          <w:tab/>
        </w:r>
        <w:r w:rsidR="003710E8">
          <w:rPr>
            <w:noProof/>
            <w:webHidden/>
          </w:rPr>
          <w:fldChar w:fldCharType="begin"/>
        </w:r>
        <w:r w:rsidR="003710E8">
          <w:rPr>
            <w:noProof/>
            <w:webHidden/>
          </w:rPr>
          <w:instrText xml:space="preserve"> PAGEREF _Toc35421321 \h </w:instrText>
        </w:r>
        <w:r w:rsidR="003710E8">
          <w:rPr>
            <w:noProof/>
            <w:webHidden/>
          </w:rPr>
        </w:r>
        <w:r w:rsidR="003710E8">
          <w:rPr>
            <w:noProof/>
            <w:webHidden/>
          </w:rPr>
          <w:fldChar w:fldCharType="separate"/>
        </w:r>
        <w:r w:rsidR="003710E8">
          <w:rPr>
            <w:noProof/>
            <w:webHidden/>
          </w:rPr>
          <w:t>20</w:t>
        </w:r>
        <w:r w:rsidR="003710E8">
          <w:rPr>
            <w:noProof/>
            <w:webHidden/>
          </w:rPr>
          <w:fldChar w:fldCharType="end"/>
        </w:r>
      </w:hyperlink>
    </w:p>
    <w:p w14:paraId="273E7404"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22" w:history="1">
        <w:r w:rsidR="003710E8" w:rsidRPr="00963AE1">
          <w:rPr>
            <w:rStyle w:val="Hyperlink"/>
            <w:noProof/>
          </w:rPr>
          <w:t>Performance Assurance Techniques Calendar</w:t>
        </w:r>
        <w:r w:rsidR="003710E8">
          <w:rPr>
            <w:noProof/>
            <w:webHidden/>
          </w:rPr>
          <w:tab/>
        </w:r>
        <w:r w:rsidR="003710E8">
          <w:rPr>
            <w:noProof/>
            <w:webHidden/>
          </w:rPr>
          <w:fldChar w:fldCharType="begin"/>
        </w:r>
        <w:r w:rsidR="003710E8">
          <w:rPr>
            <w:noProof/>
            <w:webHidden/>
          </w:rPr>
          <w:instrText xml:space="preserve"> PAGEREF _Toc35421322 \h </w:instrText>
        </w:r>
        <w:r w:rsidR="003710E8">
          <w:rPr>
            <w:noProof/>
            <w:webHidden/>
          </w:rPr>
        </w:r>
        <w:r w:rsidR="003710E8">
          <w:rPr>
            <w:noProof/>
            <w:webHidden/>
          </w:rPr>
          <w:fldChar w:fldCharType="separate"/>
        </w:r>
        <w:r w:rsidR="003710E8">
          <w:rPr>
            <w:noProof/>
            <w:webHidden/>
          </w:rPr>
          <w:t>21</w:t>
        </w:r>
        <w:r w:rsidR="003710E8">
          <w:rPr>
            <w:noProof/>
            <w:webHidden/>
          </w:rPr>
          <w:fldChar w:fldCharType="end"/>
        </w:r>
      </w:hyperlink>
    </w:p>
    <w:p w14:paraId="21F57580" w14:textId="77777777" w:rsidR="003710E8" w:rsidRDefault="00DC2BC3">
      <w:pPr>
        <w:pStyle w:val="TOC1"/>
        <w:rPr>
          <w:rFonts w:asciiTheme="minorHAnsi" w:eastAsiaTheme="minorEastAsia" w:hAnsiTheme="minorHAnsi" w:cstheme="minorBidi"/>
          <w:b w:val="0"/>
          <w:caps w:val="0"/>
          <w:noProof/>
          <w:color w:val="auto"/>
          <w:sz w:val="22"/>
          <w:szCs w:val="22"/>
          <w:lang w:eastAsia="en-GB"/>
        </w:rPr>
      </w:pPr>
      <w:hyperlink w:anchor="_Toc35421323" w:history="1">
        <w:r w:rsidR="003710E8" w:rsidRPr="00963AE1">
          <w:rPr>
            <w:rStyle w:val="Hyperlink"/>
            <w:noProof/>
          </w:rPr>
          <w:t>Summary of Costs for delivering Performance Assurance Techniques</w:t>
        </w:r>
        <w:r w:rsidR="003710E8">
          <w:rPr>
            <w:noProof/>
            <w:webHidden/>
          </w:rPr>
          <w:tab/>
        </w:r>
        <w:r w:rsidR="003710E8">
          <w:rPr>
            <w:noProof/>
            <w:webHidden/>
          </w:rPr>
          <w:fldChar w:fldCharType="begin"/>
        </w:r>
        <w:r w:rsidR="003710E8">
          <w:rPr>
            <w:noProof/>
            <w:webHidden/>
          </w:rPr>
          <w:instrText xml:space="preserve"> PAGEREF _Toc35421323 \h </w:instrText>
        </w:r>
        <w:r w:rsidR="003710E8">
          <w:rPr>
            <w:noProof/>
            <w:webHidden/>
          </w:rPr>
        </w:r>
        <w:r w:rsidR="003710E8">
          <w:rPr>
            <w:noProof/>
            <w:webHidden/>
          </w:rPr>
          <w:fldChar w:fldCharType="separate"/>
        </w:r>
        <w:r w:rsidR="003710E8">
          <w:rPr>
            <w:noProof/>
            <w:webHidden/>
          </w:rPr>
          <w:t>22</w:t>
        </w:r>
        <w:r w:rsidR="003710E8">
          <w:rPr>
            <w:noProof/>
            <w:webHidden/>
          </w:rPr>
          <w:fldChar w:fldCharType="end"/>
        </w:r>
      </w:hyperlink>
    </w:p>
    <w:p w14:paraId="60A9843E"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24" w:history="1">
        <w:r w:rsidR="003710E8" w:rsidRPr="00963AE1">
          <w:rPr>
            <w:rStyle w:val="Hyperlink"/>
            <w:noProof/>
          </w:rPr>
          <w:t>Operational and Contractual Cost details</w:t>
        </w:r>
        <w:r w:rsidR="003710E8">
          <w:rPr>
            <w:noProof/>
            <w:webHidden/>
          </w:rPr>
          <w:tab/>
        </w:r>
        <w:r w:rsidR="003710E8">
          <w:rPr>
            <w:noProof/>
            <w:webHidden/>
          </w:rPr>
          <w:fldChar w:fldCharType="begin"/>
        </w:r>
        <w:r w:rsidR="003710E8">
          <w:rPr>
            <w:noProof/>
            <w:webHidden/>
          </w:rPr>
          <w:instrText xml:space="preserve"> PAGEREF _Toc35421324 \h </w:instrText>
        </w:r>
        <w:r w:rsidR="003710E8">
          <w:rPr>
            <w:noProof/>
            <w:webHidden/>
          </w:rPr>
        </w:r>
        <w:r w:rsidR="003710E8">
          <w:rPr>
            <w:noProof/>
            <w:webHidden/>
          </w:rPr>
          <w:fldChar w:fldCharType="separate"/>
        </w:r>
        <w:r w:rsidR="003710E8">
          <w:rPr>
            <w:noProof/>
            <w:webHidden/>
          </w:rPr>
          <w:t>22</w:t>
        </w:r>
        <w:r w:rsidR="003710E8">
          <w:rPr>
            <w:noProof/>
            <w:webHidden/>
          </w:rPr>
          <w:fldChar w:fldCharType="end"/>
        </w:r>
      </w:hyperlink>
    </w:p>
    <w:p w14:paraId="62432912"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25" w:history="1">
        <w:r w:rsidR="003710E8" w:rsidRPr="00963AE1">
          <w:rPr>
            <w:rStyle w:val="Hyperlink"/>
            <w:noProof/>
          </w:rPr>
          <w:t>Contractual Costs</w:t>
        </w:r>
        <w:r w:rsidR="003710E8">
          <w:rPr>
            <w:noProof/>
            <w:webHidden/>
          </w:rPr>
          <w:tab/>
        </w:r>
        <w:r w:rsidR="003710E8">
          <w:rPr>
            <w:noProof/>
            <w:webHidden/>
          </w:rPr>
          <w:fldChar w:fldCharType="begin"/>
        </w:r>
        <w:r w:rsidR="003710E8">
          <w:rPr>
            <w:noProof/>
            <w:webHidden/>
          </w:rPr>
          <w:instrText xml:space="preserve"> PAGEREF _Toc35421325 \h </w:instrText>
        </w:r>
        <w:r w:rsidR="003710E8">
          <w:rPr>
            <w:noProof/>
            <w:webHidden/>
          </w:rPr>
        </w:r>
        <w:r w:rsidR="003710E8">
          <w:rPr>
            <w:noProof/>
            <w:webHidden/>
          </w:rPr>
          <w:fldChar w:fldCharType="separate"/>
        </w:r>
        <w:r w:rsidR="003710E8">
          <w:rPr>
            <w:noProof/>
            <w:webHidden/>
          </w:rPr>
          <w:t>22</w:t>
        </w:r>
        <w:r w:rsidR="003710E8">
          <w:rPr>
            <w:noProof/>
            <w:webHidden/>
          </w:rPr>
          <w:fldChar w:fldCharType="end"/>
        </w:r>
      </w:hyperlink>
    </w:p>
    <w:p w14:paraId="458B7C9E" w14:textId="77777777" w:rsidR="003710E8" w:rsidRDefault="00DC2BC3">
      <w:pPr>
        <w:pStyle w:val="TOC2"/>
        <w:rPr>
          <w:rFonts w:asciiTheme="minorHAnsi" w:eastAsiaTheme="minorEastAsia" w:hAnsiTheme="minorHAnsi" w:cstheme="minorBidi"/>
          <w:noProof/>
          <w:color w:val="auto"/>
          <w:sz w:val="22"/>
          <w:szCs w:val="22"/>
          <w:lang w:eastAsia="en-GB"/>
        </w:rPr>
      </w:pPr>
      <w:hyperlink w:anchor="_Toc35421326" w:history="1">
        <w:r w:rsidR="003710E8" w:rsidRPr="00963AE1">
          <w:rPr>
            <w:rStyle w:val="Hyperlink"/>
            <w:noProof/>
          </w:rPr>
          <w:t>What happens next?</w:t>
        </w:r>
        <w:r w:rsidR="003710E8">
          <w:rPr>
            <w:noProof/>
            <w:webHidden/>
          </w:rPr>
          <w:tab/>
        </w:r>
        <w:r w:rsidR="003710E8">
          <w:rPr>
            <w:noProof/>
            <w:webHidden/>
          </w:rPr>
          <w:fldChar w:fldCharType="begin"/>
        </w:r>
        <w:r w:rsidR="003710E8">
          <w:rPr>
            <w:noProof/>
            <w:webHidden/>
          </w:rPr>
          <w:instrText xml:space="preserve"> PAGEREF _Toc35421326 \h </w:instrText>
        </w:r>
        <w:r w:rsidR="003710E8">
          <w:rPr>
            <w:noProof/>
            <w:webHidden/>
          </w:rPr>
        </w:r>
        <w:r w:rsidR="003710E8">
          <w:rPr>
            <w:noProof/>
            <w:webHidden/>
          </w:rPr>
          <w:fldChar w:fldCharType="separate"/>
        </w:r>
        <w:r w:rsidR="003710E8">
          <w:rPr>
            <w:noProof/>
            <w:webHidden/>
          </w:rPr>
          <w:t>23</w:t>
        </w:r>
        <w:r w:rsidR="003710E8">
          <w:rPr>
            <w:noProof/>
            <w:webHidden/>
          </w:rPr>
          <w:fldChar w:fldCharType="end"/>
        </w:r>
      </w:hyperlink>
    </w:p>
    <w:p w14:paraId="13389484" w14:textId="77777777" w:rsidR="00867582" w:rsidRDefault="00E54311" w:rsidP="00E13C32">
      <w:pPr>
        <w:pStyle w:val="TOC1"/>
      </w:pPr>
      <w:r>
        <w:fldChar w:fldCharType="end"/>
      </w:r>
    </w:p>
    <w:p w14:paraId="7CA63AA1" w14:textId="77777777" w:rsidR="00867582" w:rsidRDefault="00867582" w:rsidP="00E13C32">
      <w:pPr>
        <w:pStyle w:val="TOC1"/>
      </w:pPr>
    </w:p>
    <w:p w14:paraId="102438EA" w14:textId="77777777" w:rsidR="002A21B5" w:rsidRDefault="006454CB" w:rsidP="009D736F">
      <w:pPr>
        <w:pStyle w:val="Sectionheading"/>
      </w:pPr>
      <w:r w:rsidRPr="006454CB">
        <w:br w:type="page"/>
      </w:r>
      <w:bookmarkStart w:id="2" w:name="_Toc35421306"/>
      <w:r w:rsidR="002A21B5">
        <w:lastRenderedPageBreak/>
        <w:t>introduction</w:t>
      </w:r>
      <w:bookmarkEnd w:id="2"/>
    </w:p>
    <w:p w14:paraId="58A81763" w14:textId="77777777" w:rsidR="002A21B5" w:rsidRDefault="002A21B5" w:rsidP="002A21B5">
      <w:pPr>
        <w:pStyle w:val="BodyText"/>
      </w:pPr>
      <w:r>
        <w:t>The Balancing and Settlement Code (BSC), Section Z 5.6, requires the Performance Assurance Board (PAB) to determine which Performance Assurance Technique (PAT) it considers should be applied for each Settlement Risk on the Risk Evaluation Register</w:t>
      </w:r>
      <w:r>
        <w:rPr>
          <w:rStyle w:val="FootnoteReference"/>
        </w:rPr>
        <w:footnoteReference w:id="1"/>
      </w:r>
      <w:r>
        <w:t xml:space="preserve"> (RER) for each year.  The PAB will then prepare a plan (the Risk Operating Plan - ROP) setting out the technique deployment and the estimated cost of the techniques for the year (the Performance Assurance Operating Period – PAOP).</w:t>
      </w:r>
    </w:p>
    <w:p w14:paraId="43961B83" w14:textId="77777777" w:rsidR="002A21B5" w:rsidRDefault="002A21B5" w:rsidP="002A21B5">
      <w:pPr>
        <w:pStyle w:val="BodyText"/>
      </w:pPr>
      <w:r>
        <w:t xml:space="preserve">The PAB reviews the ROP annually, primarily based on the PAB’s strategy (see below) and additional feedback provided via BSC parties.  A draft is published for Performance Assurance Parties (PAP) and other interested parties to comment on.  Appropriate changes are made following consideration of any comments, after which the PAB (delegated from the Panel) is asked to approve and adopt the ROP. </w:t>
      </w:r>
    </w:p>
    <w:p w14:paraId="70AA55AA" w14:textId="77777777" w:rsidR="002A21B5" w:rsidRDefault="002A21B5" w:rsidP="002A21B5">
      <w:pPr>
        <w:pStyle w:val="BodyText"/>
      </w:pPr>
      <w:r>
        <w:t>This document describes for assurance year 2020/21</w:t>
      </w:r>
      <w:r w:rsidRPr="00BA264E">
        <w:rPr>
          <w:color w:val="auto"/>
        </w:rPr>
        <w:t>:</w:t>
      </w:r>
    </w:p>
    <w:p w14:paraId="51A55C3C" w14:textId="77777777" w:rsidR="002A21B5" w:rsidRDefault="002A21B5" w:rsidP="002A21B5">
      <w:pPr>
        <w:pStyle w:val="ListBullet"/>
      </w:pPr>
      <w:r>
        <w:t>the PAB’s risk appetite through the Target Impact</w:t>
      </w:r>
      <w:r>
        <w:rPr>
          <w:rStyle w:val="FootnoteReference"/>
        </w:rPr>
        <w:footnoteReference w:id="2"/>
      </w:r>
      <w:r>
        <w:t xml:space="preserve"> set for each Settlement Risk</w:t>
      </w:r>
    </w:p>
    <w:p w14:paraId="4FD03ED7" w14:textId="77777777" w:rsidR="002A21B5" w:rsidRDefault="002A21B5" w:rsidP="002A21B5">
      <w:pPr>
        <w:pStyle w:val="ListBullet"/>
      </w:pPr>
      <w:r>
        <w:t>the planned technique deployment to achieve the target impact</w:t>
      </w:r>
    </w:p>
    <w:p w14:paraId="03079E2B" w14:textId="77777777" w:rsidR="002A21B5" w:rsidRDefault="002A21B5" w:rsidP="002A21B5">
      <w:pPr>
        <w:pStyle w:val="ListBullet"/>
      </w:pPr>
      <w:r>
        <w:t>the planned technique deployment to strengthen controls or mitigate events</w:t>
      </w:r>
      <w:r>
        <w:rPr>
          <w:rStyle w:val="FootnoteReference"/>
        </w:rPr>
        <w:footnoteReference w:id="3"/>
      </w:r>
    </w:p>
    <w:p w14:paraId="564B85DA" w14:textId="77777777" w:rsidR="002A21B5" w:rsidRDefault="002A21B5" w:rsidP="002A21B5">
      <w:pPr>
        <w:pStyle w:val="ListBullet"/>
      </w:pPr>
      <w:r>
        <w:t>the estimated costs of such deployment</w:t>
      </w:r>
    </w:p>
    <w:p w14:paraId="2A5AD8D0" w14:textId="77777777" w:rsidR="002A21B5" w:rsidRDefault="002A21B5" w:rsidP="002A21B5">
      <w:pPr>
        <w:pStyle w:val="BodyText"/>
      </w:pPr>
      <w:r>
        <w:rPr>
          <w:noProof/>
          <w:lang w:eastAsia="en-GB"/>
        </w:rPr>
        <w:drawing>
          <wp:anchor distT="0" distB="0" distL="114300" distR="114300" simplePos="0" relativeHeight="251660288" behindDoc="0" locked="0" layoutInCell="1" allowOverlap="1" wp14:anchorId="302792A3" wp14:editId="79313F4B">
            <wp:simplePos x="0" y="0"/>
            <wp:positionH relativeFrom="margin">
              <wp:align>right</wp:align>
            </wp:positionH>
            <wp:positionV relativeFrom="margin">
              <wp:posOffset>3196590</wp:posOffset>
            </wp:positionV>
            <wp:extent cx="2552065" cy="2881630"/>
            <wp:effectExtent l="0" t="0" r="14605" b="47625"/>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7A3C5B28" w14:textId="77777777" w:rsidR="002A21B5" w:rsidRDefault="002A21B5" w:rsidP="002A21B5">
      <w:pPr>
        <w:pStyle w:val="Heading"/>
      </w:pPr>
      <w:bookmarkStart w:id="3" w:name="_Toc35421307"/>
      <w:r>
        <w:t>ROP Ledger</w:t>
      </w:r>
      <w:bookmarkEnd w:id="3"/>
    </w:p>
    <w:p w14:paraId="78820530" w14:textId="77777777" w:rsidR="002A21B5" w:rsidRDefault="002A21B5" w:rsidP="002A21B5">
      <w:pPr>
        <w:pStyle w:val="BodyText"/>
        <w:rPr>
          <w:b/>
        </w:rPr>
      </w:pPr>
      <w:r w:rsidRPr="00941C22">
        <w:t>This</w:t>
      </w:r>
      <w:r>
        <w:t xml:space="preserve"> document is accompanied by the ROP Ledger, a spreadsheet setting out the detail of the planned technique deployment, with rationale to risks, controls and events. </w:t>
      </w:r>
    </w:p>
    <w:p w14:paraId="2F0E05CA" w14:textId="77777777" w:rsidR="002A21B5" w:rsidRDefault="002A21B5" w:rsidP="002A21B5">
      <w:pPr>
        <w:pStyle w:val="BodyText"/>
        <w:rPr>
          <w:b/>
        </w:rPr>
      </w:pPr>
    </w:p>
    <w:p w14:paraId="4800D9E5" w14:textId="77777777" w:rsidR="002A21B5" w:rsidRDefault="002A21B5" w:rsidP="002A21B5">
      <w:pPr>
        <w:pStyle w:val="BodyText"/>
        <w:rPr>
          <w:b/>
        </w:rPr>
      </w:pPr>
    </w:p>
    <w:p w14:paraId="63B3F2EB" w14:textId="77777777" w:rsidR="002A21B5" w:rsidRDefault="002A21B5" w:rsidP="002A21B5">
      <w:pPr>
        <w:pStyle w:val="BodyText"/>
        <w:rPr>
          <w:b/>
        </w:rPr>
      </w:pPr>
    </w:p>
    <w:p w14:paraId="097AFB37" w14:textId="77777777" w:rsidR="002A21B5" w:rsidRPr="00BA264E" w:rsidRDefault="002A21B5" w:rsidP="002A21B5">
      <w:pPr>
        <w:pStyle w:val="BodyText"/>
        <w:rPr>
          <w:b/>
        </w:rPr>
      </w:pPr>
      <w:r w:rsidRPr="00BA264E">
        <w:rPr>
          <w:b/>
        </w:rPr>
        <w:t>This ROP is effective from</w:t>
      </w:r>
      <w:r>
        <w:rPr>
          <w:b/>
        </w:rPr>
        <w:t xml:space="preserve"> April 2020 to March 2021</w:t>
      </w:r>
    </w:p>
    <w:p w14:paraId="4E04184A" w14:textId="77777777" w:rsidR="002A21B5" w:rsidRDefault="002A21B5" w:rsidP="002A21B5">
      <w:pPr>
        <w:pStyle w:val="BodyText"/>
        <w:jc w:val="center"/>
      </w:pPr>
    </w:p>
    <w:p w14:paraId="0E24A847" w14:textId="77777777" w:rsidR="002A21B5" w:rsidRDefault="002A21B5" w:rsidP="002A21B5">
      <w:pPr>
        <w:pStyle w:val="BodyText"/>
        <w:jc w:val="center"/>
      </w:pPr>
    </w:p>
    <w:p w14:paraId="2F5853A8" w14:textId="77777777" w:rsidR="002A21B5" w:rsidRDefault="002A21B5" w:rsidP="002A21B5">
      <w:pPr>
        <w:pStyle w:val="Heading"/>
      </w:pPr>
      <w:bookmarkStart w:id="4" w:name="_Toc35421308"/>
      <w:r>
        <w:t>Where to find out more</w:t>
      </w:r>
      <w:bookmarkEnd w:id="4"/>
    </w:p>
    <w:p w14:paraId="6A8E1FC8" w14:textId="77777777" w:rsidR="002A21B5" w:rsidRPr="00960838" w:rsidRDefault="002A21B5" w:rsidP="002A21B5">
      <w:pPr>
        <w:pStyle w:val="ListBullet"/>
        <w:rPr>
          <w:rStyle w:val="Hyperlink"/>
          <w:color w:val="000000" w:themeColor="text1"/>
          <w:u w:val="none"/>
        </w:rPr>
      </w:pPr>
      <w:r>
        <w:t xml:space="preserve">Contact </w:t>
      </w:r>
      <w:hyperlink r:id="rId17" w:history="1">
        <w:r w:rsidRPr="00FD4495">
          <w:rPr>
            <w:rStyle w:val="Hyperlink"/>
          </w:rPr>
          <w:t>Risk@elexon.co.uk</w:t>
        </w:r>
      </w:hyperlink>
    </w:p>
    <w:p w14:paraId="69662DFF" w14:textId="77777777" w:rsidR="002A21B5" w:rsidRDefault="002A21B5" w:rsidP="002A21B5">
      <w:pPr>
        <w:pStyle w:val="ListBullet"/>
      </w:pPr>
      <w:r>
        <w:t xml:space="preserve">Visit </w:t>
      </w:r>
      <w:hyperlink r:id="rId18" w:history="1">
        <w:r w:rsidRPr="001B5966">
          <w:rPr>
            <w:rStyle w:val="Hyperlink"/>
          </w:rPr>
          <w:t>https://www.elexon.co.uk/reference/performance-assurance/</w:t>
        </w:r>
      </w:hyperlink>
    </w:p>
    <w:p w14:paraId="0FFF7086" w14:textId="77777777" w:rsidR="002A21B5" w:rsidRDefault="002A21B5" w:rsidP="002A21B5">
      <w:pPr>
        <w:pStyle w:val="Heading"/>
      </w:pPr>
      <w:bookmarkStart w:id="5" w:name="_Toc35421309"/>
      <w:r>
        <w:t>The PAB Strategy</w:t>
      </w:r>
      <w:bookmarkEnd w:id="5"/>
    </w:p>
    <w:p w14:paraId="558C72D6" w14:textId="77777777" w:rsidR="002A21B5" w:rsidRDefault="002A21B5" w:rsidP="002A21B5">
      <w:pPr>
        <w:pStyle w:val="BodyText"/>
      </w:pPr>
      <w:r>
        <w:t>The PAB Strategy for Performance Assurance Operating Period (PAOP</w:t>
      </w:r>
      <w:r w:rsidRPr="00E020DD">
        <w:rPr>
          <w:color w:val="auto"/>
        </w:rPr>
        <w:t xml:space="preserve">) </w:t>
      </w:r>
      <w:r>
        <w:rPr>
          <w:color w:val="auto"/>
        </w:rPr>
        <w:t>2020/21</w:t>
      </w:r>
      <w:r w:rsidRPr="00E020DD">
        <w:rPr>
          <w:color w:val="auto"/>
        </w:rPr>
        <w:t xml:space="preserve"> </w:t>
      </w:r>
      <w:r>
        <w:t xml:space="preserve">can be found here </w:t>
      </w:r>
      <w:hyperlink r:id="rId19" w:history="1">
        <w:r w:rsidRPr="00755648">
          <w:rPr>
            <w:rStyle w:val="Hyperlink"/>
          </w:rPr>
          <w:t>[link]</w:t>
        </w:r>
      </w:hyperlink>
      <w:r>
        <w:t>; in summary, the strategic objectives are:</w:t>
      </w:r>
    </w:p>
    <w:p w14:paraId="081E5164" w14:textId="77777777" w:rsidR="002A21B5" w:rsidRPr="00ED36CF" w:rsidRDefault="002A21B5" w:rsidP="002A21B5">
      <w:pPr>
        <w:pStyle w:val="Boldheading"/>
        <w:ind w:left="360"/>
        <w:rPr>
          <w:b w:val="0"/>
        </w:rPr>
      </w:pPr>
      <w:r w:rsidRPr="00ED36CF">
        <w:rPr>
          <w:color w:val="3CA49E"/>
        </w:rPr>
        <w:t>Objective 1:</w:t>
      </w:r>
      <w:r w:rsidRPr="00ED36CF">
        <w:t xml:space="preserve"> </w:t>
      </w:r>
      <w:r w:rsidRPr="00ED36CF">
        <w:rPr>
          <w:b w:val="0"/>
        </w:rPr>
        <w:t>Regularly review future industry changes and developments and consider consequential impacts on the PAF so that the risk register reflects sources of risk in the relevant period, and the PAB can determine appropriate technique deployment.</w:t>
      </w:r>
    </w:p>
    <w:p w14:paraId="0E250E0C" w14:textId="77777777" w:rsidR="002A21B5" w:rsidRPr="00ED36CF" w:rsidRDefault="002A21B5" w:rsidP="002A21B5">
      <w:pPr>
        <w:pStyle w:val="Boldheading"/>
        <w:ind w:left="360"/>
        <w:rPr>
          <w:b w:val="0"/>
        </w:rPr>
      </w:pPr>
      <w:r w:rsidRPr="00ED36CF">
        <w:rPr>
          <w:color w:val="3CA49E"/>
        </w:rPr>
        <w:t xml:space="preserve">Objective 2: </w:t>
      </w:r>
      <w:r w:rsidRPr="00ED36CF">
        <w:rPr>
          <w:b w:val="0"/>
        </w:rPr>
        <w:t>Ensure that accurate allocation of Settlement volumes is a priority within performance management and risk mitigation through risk reviews, deployment of mitigating techniques and performance reporting.</w:t>
      </w:r>
    </w:p>
    <w:p w14:paraId="3E9895FC" w14:textId="77777777" w:rsidR="002A21B5" w:rsidRPr="00ED36CF" w:rsidRDefault="002A21B5" w:rsidP="002A21B5">
      <w:pPr>
        <w:pStyle w:val="Boldheading"/>
        <w:ind w:left="360"/>
        <w:rPr>
          <w:b w:val="0"/>
        </w:rPr>
      </w:pPr>
      <w:r w:rsidRPr="00ED36CF">
        <w:rPr>
          <w:color w:val="3CA49E"/>
        </w:rPr>
        <w:t xml:space="preserve">Objective 3: </w:t>
      </w:r>
      <w:r w:rsidRPr="00ED36CF">
        <w:rPr>
          <w:b w:val="0"/>
        </w:rPr>
        <w:t>Develop a more flexible approach to PAB meetings, membership and resources to allow the delivery of adaptable, consistent and effective performance assurance.</w:t>
      </w:r>
    </w:p>
    <w:p w14:paraId="7EBEC427" w14:textId="77777777" w:rsidR="002A21B5" w:rsidRPr="00ED36CF" w:rsidRDefault="002A21B5" w:rsidP="002A21B5">
      <w:pPr>
        <w:pStyle w:val="Boldheading"/>
        <w:ind w:left="360"/>
        <w:rPr>
          <w:b w:val="0"/>
        </w:rPr>
      </w:pPr>
      <w:r w:rsidRPr="00ED36CF">
        <w:rPr>
          <w:color w:val="3CA49E"/>
        </w:rPr>
        <w:t xml:space="preserve">Objective 4: </w:t>
      </w:r>
      <w:r w:rsidRPr="00ED36CF">
        <w:rPr>
          <w:b w:val="0"/>
        </w:rPr>
        <w:t>Create clear and visible communication channels between the PAB, Performance Assurance Party’s (PAP’s) and Ofgem, highlighting performance (positive and negative) by exception and showing a clear link between performance and impacts on risk.</w:t>
      </w:r>
    </w:p>
    <w:p w14:paraId="777803AD" w14:textId="77777777" w:rsidR="002A21B5" w:rsidRPr="00ED36CF" w:rsidRDefault="002A21B5" w:rsidP="002A21B5">
      <w:pPr>
        <w:pStyle w:val="Boldheading"/>
        <w:ind w:firstLine="360"/>
        <w:rPr>
          <w:b w:val="0"/>
        </w:rPr>
      </w:pPr>
      <w:r w:rsidRPr="00ED36CF">
        <w:rPr>
          <w:color w:val="3CA49E"/>
        </w:rPr>
        <w:t xml:space="preserve">Objective 5: </w:t>
      </w:r>
      <w:r w:rsidRPr="00ED36CF">
        <w:rPr>
          <w:b w:val="0"/>
        </w:rPr>
        <w:t xml:space="preserve">Support </w:t>
      </w:r>
      <w:r w:rsidR="009B442D">
        <w:rPr>
          <w:b w:val="0"/>
        </w:rPr>
        <w:t>ELEXON</w:t>
      </w:r>
      <w:r w:rsidRPr="00ED36CF">
        <w:rPr>
          <w:b w:val="0"/>
        </w:rPr>
        <w:t xml:space="preserve"> in the implementation of the PAF review recommendations.</w:t>
      </w:r>
    </w:p>
    <w:p w14:paraId="5231F942" w14:textId="77777777" w:rsidR="002A21B5" w:rsidRDefault="002A21B5" w:rsidP="002A21B5">
      <w:pPr>
        <w:pStyle w:val="BodyText"/>
        <w:ind w:left="360"/>
      </w:pPr>
      <w:r w:rsidRPr="00ED36CF">
        <w:t xml:space="preserve">The PAB did identify a further strategic objective. ELEXON </w:t>
      </w:r>
      <w:r>
        <w:t>has updated</w:t>
      </w:r>
      <w:r w:rsidRPr="00ED36CF">
        <w:t xml:space="preserve"> the PAB strategy document and present</w:t>
      </w:r>
      <w:r>
        <w:t>ed</w:t>
      </w:r>
      <w:r w:rsidRPr="00ED36CF">
        <w:t xml:space="preserve"> this for appro</w:t>
      </w:r>
      <w:r>
        <w:t>val in the Jan 2020 PAB Meeting.</w:t>
      </w:r>
    </w:p>
    <w:p w14:paraId="62344B17" w14:textId="77777777" w:rsidR="002A21B5" w:rsidRPr="004C052A" w:rsidRDefault="002A21B5" w:rsidP="002A21B5">
      <w:pPr>
        <w:pStyle w:val="BodyText"/>
        <w:ind w:left="360"/>
        <w:rPr>
          <w:b/>
          <w:color w:val="3CA49E"/>
        </w:rPr>
      </w:pPr>
      <w:r w:rsidRPr="004C052A">
        <w:rPr>
          <w:b/>
          <w:color w:val="3CA49E"/>
        </w:rPr>
        <w:t xml:space="preserve">Objective 6: </w:t>
      </w:r>
      <w:r w:rsidRPr="004C052A">
        <w:t>Ensure that the cost of delivering the PAF is optimised</w:t>
      </w:r>
    </w:p>
    <w:p w14:paraId="0B31A3B3" w14:textId="77777777" w:rsidR="002A21B5" w:rsidRDefault="002A21B5" w:rsidP="002A21B5">
      <w:pPr>
        <w:pStyle w:val="Heading"/>
      </w:pPr>
      <w:bookmarkStart w:id="6" w:name="_Toc35421310"/>
      <w:r>
        <w:t>Risk appetite</w:t>
      </w:r>
      <w:bookmarkEnd w:id="6"/>
    </w:p>
    <w:p w14:paraId="0A61C48D" w14:textId="77777777" w:rsidR="002A21B5" w:rsidRDefault="002A21B5" w:rsidP="002A21B5">
      <w:pPr>
        <w:pStyle w:val="BodyText"/>
      </w:pPr>
      <w:r>
        <w:t xml:space="preserve">The PAB Strategy informs the PAB’s consideration of risk appetite: the type and amount of Settlement Risk that can be tolerated in the coming year, when availability and cost of appropriate mitigation is factored in.  </w:t>
      </w:r>
    </w:p>
    <w:p w14:paraId="63BE0360" w14:textId="77777777" w:rsidR="002A21B5" w:rsidRDefault="002A21B5" w:rsidP="002A21B5">
      <w:pPr>
        <w:pStyle w:val="BodyText"/>
      </w:pPr>
      <w:r>
        <w:rPr>
          <w:noProof/>
          <w:lang w:eastAsia="en-GB"/>
        </w:rPr>
        <w:drawing>
          <wp:anchor distT="0" distB="0" distL="114300" distR="114300" simplePos="0" relativeHeight="251661312" behindDoc="0" locked="0" layoutInCell="1" allowOverlap="1" wp14:anchorId="71561668" wp14:editId="0EA67EDB">
            <wp:simplePos x="0" y="0"/>
            <wp:positionH relativeFrom="margin">
              <wp:posOffset>5006975</wp:posOffset>
            </wp:positionH>
            <wp:positionV relativeFrom="margin">
              <wp:posOffset>4304665</wp:posOffset>
            </wp:positionV>
            <wp:extent cx="1540510" cy="1427480"/>
            <wp:effectExtent l="0" t="0" r="254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540510" cy="1427480"/>
                    </a:xfrm>
                    <a:prstGeom prst="rect">
                      <a:avLst/>
                    </a:prstGeom>
                  </pic:spPr>
                </pic:pic>
              </a:graphicData>
            </a:graphic>
            <wp14:sizeRelH relativeFrom="margin">
              <wp14:pctWidth>0</wp14:pctWidth>
            </wp14:sizeRelH>
            <wp14:sizeRelV relativeFrom="margin">
              <wp14:pctHeight>0</wp14:pctHeight>
            </wp14:sizeRelV>
          </wp:anchor>
        </w:drawing>
      </w:r>
      <w:r>
        <w:t>The PAB will consider the extent to which each Settlement Risk should be controlled, what is feasible with the PATs available, and what is a reasonable amount to invest in those PATs.</w:t>
      </w:r>
    </w:p>
    <w:p w14:paraId="0B9475E3" w14:textId="77777777" w:rsidR="002A21B5" w:rsidRDefault="002A21B5" w:rsidP="002A21B5">
      <w:pPr>
        <w:pStyle w:val="BodyText"/>
      </w:pPr>
      <w:r>
        <w:t>The PAB will determine for each Settlement Risk</w:t>
      </w:r>
    </w:p>
    <w:p w14:paraId="597B2A2E" w14:textId="77777777" w:rsidR="002A21B5" w:rsidRDefault="002A21B5" w:rsidP="002A21B5">
      <w:pPr>
        <w:pStyle w:val="ListBullet"/>
      </w:pPr>
      <w:r>
        <w:t xml:space="preserve">a </w:t>
      </w:r>
      <w:r w:rsidRPr="00ED12D2">
        <w:rPr>
          <w:b/>
        </w:rPr>
        <w:t>target impact</w:t>
      </w:r>
      <w:r>
        <w:t>, expressed in financial terms</w:t>
      </w:r>
    </w:p>
    <w:p w14:paraId="650E00B3" w14:textId="77777777" w:rsidR="002A21B5" w:rsidRDefault="002A21B5" w:rsidP="002A21B5">
      <w:pPr>
        <w:pStyle w:val="ListBullet"/>
      </w:pPr>
      <w:r>
        <w:t xml:space="preserve">a </w:t>
      </w:r>
      <w:r w:rsidRPr="00ED12D2">
        <w:rPr>
          <w:b/>
        </w:rPr>
        <w:t>variance</w:t>
      </w:r>
      <w:r>
        <w:t xml:space="preserve"> from the current impact</w:t>
      </w:r>
    </w:p>
    <w:p w14:paraId="653DB2A2" w14:textId="77777777" w:rsidR="002A21B5" w:rsidRDefault="002A21B5" w:rsidP="002A21B5">
      <w:pPr>
        <w:pStyle w:val="ListBullet"/>
      </w:pPr>
      <w:r>
        <w:t xml:space="preserve">any </w:t>
      </w:r>
      <w:r w:rsidRPr="00ED12D2">
        <w:rPr>
          <w:b/>
        </w:rPr>
        <w:t>reduction in the volatility</w:t>
      </w:r>
      <w:r>
        <w:t xml:space="preserve"> that the PAB wishes to achieve </w:t>
      </w:r>
    </w:p>
    <w:p w14:paraId="0AFAE85E" w14:textId="77777777" w:rsidR="002A21B5" w:rsidRDefault="002A21B5" w:rsidP="002A21B5">
      <w:pPr>
        <w:spacing w:after="0" w:line="240" w:lineRule="auto"/>
      </w:pPr>
    </w:p>
    <w:p w14:paraId="56B106C2" w14:textId="77777777" w:rsidR="002A21B5" w:rsidRDefault="002A21B5" w:rsidP="002A21B5">
      <w:pPr>
        <w:pStyle w:val="BodyText"/>
      </w:pPr>
      <w:r>
        <w:t>These are included within the RER e.g.:</w:t>
      </w:r>
    </w:p>
    <w:p w14:paraId="605D2B8C" w14:textId="77777777" w:rsidR="002A21B5" w:rsidRDefault="002A21B5" w:rsidP="002A21B5">
      <w:pPr>
        <w:spacing w:after="0" w:line="240" w:lineRule="auto"/>
      </w:pPr>
      <w:r>
        <w:rPr>
          <w:noProof/>
          <w:lang w:eastAsia="en-GB"/>
        </w:rPr>
        <w:drawing>
          <wp:inline distT="0" distB="0" distL="0" distR="0" wp14:anchorId="245D60C4" wp14:editId="2D560470">
            <wp:extent cx="6501822" cy="9990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713"/>
                    <a:stretch/>
                  </pic:blipFill>
                  <pic:spPr bwMode="auto">
                    <a:xfrm>
                      <a:off x="0" y="0"/>
                      <a:ext cx="6511121" cy="1000496"/>
                    </a:xfrm>
                    <a:prstGeom prst="rect">
                      <a:avLst/>
                    </a:prstGeom>
                    <a:ln>
                      <a:noFill/>
                    </a:ln>
                    <a:extLst>
                      <a:ext uri="{53640926-AAD7-44D8-BBD7-CCE9431645EC}">
                        <a14:shadowObscured xmlns:a14="http://schemas.microsoft.com/office/drawing/2010/main"/>
                      </a:ext>
                    </a:extLst>
                  </pic:spPr>
                </pic:pic>
              </a:graphicData>
            </a:graphic>
          </wp:inline>
        </w:drawing>
      </w:r>
    </w:p>
    <w:p w14:paraId="715C895A" w14:textId="77777777" w:rsidR="002A21B5" w:rsidRDefault="002A21B5" w:rsidP="002A21B5">
      <w:pPr>
        <w:spacing w:after="0" w:line="240" w:lineRule="auto"/>
        <w:rPr>
          <w:b/>
          <w:color w:val="0090AB" w:themeColor="text2"/>
          <w:sz w:val="22"/>
        </w:rPr>
      </w:pPr>
      <w:r>
        <w:br w:type="page"/>
      </w:r>
    </w:p>
    <w:p w14:paraId="060E2654" w14:textId="77777777" w:rsidR="002A21B5" w:rsidRPr="00184FB8" w:rsidRDefault="002A21B5" w:rsidP="002A21B5">
      <w:pPr>
        <w:pStyle w:val="Heading"/>
      </w:pPr>
      <w:bookmarkStart w:id="7" w:name="_Toc35421311"/>
      <w:r>
        <w:t>Within-p</w:t>
      </w:r>
      <w:r w:rsidRPr="00184FB8">
        <w:t xml:space="preserve">eriod </w:t>
      </w:r>
      <w:r>
        <w:t>r</w:t>
      </w:r>
      <w:r w:rsidRPr="00184FB8">
        <w:t>evisions</w:t>
      </w:r>
      <w:bookmarkEnd w:id="7"/>
    </w:p>
    <w:p w14:paraId="67E115E4" w14:textId="77777777" w:rsidR="002A21B5" w:rsidRDefault="002A21B5" w:rsidP="002A21B5">
      <w:pPr>
        <w:pStyle w:val="ListBullet"/>
        <w:numPr>
          <w:ilvl w:val="0"/>
          <w:numId w:val="0"/>
        </w:numPr>
      </w:pPr>
      <w:r>
        <w:t>T</w:t>
      </w:r>
      <w:r w:rsidRPr="00177D82">
        <w:t xml:space="preserve">he ROP </w:t>
      </w:r>
      <w:r>
        <w:t>is</w:t>
      </w:r>
      <w:r w:rsidRPr="00177D82">
        <w:t xml:space="preserve"> reviewed on an annual basis in line with the </w:t>
      </w:r>
      <w:r w:rsidRPr="00FD7AE9">
        <w:t>Annual</w:t>
      </w:r>
      <w:r>
        <w:t xml:space="preserve"> Performance Assurance Timetable</w:t>
      </w:r>
      <w:r>
        <w:rPr>
          <w:rStyle w:val="FootnoteReference"/>
        </w:rPr>
        <w:footnoteReference w:id="4"/>
      </w:r>
      <w:r>
        <w:t xml:space="preserve"> to be ready for the next PAOP on 1 April.  A</w:t>
      </w:r>
      <w:r w:rsidRPr="00177D82">
        <w:t xml:space="preserve"> ‘within</w:t>
      </w:r>
      <w:r>
        <w:t>-</w:t>
      </w:r>
      <w:r w:rsidRPr="00177D82">
        <w:t xml:space="preserve">period revision’ of the ROP may be </w:t>
      </w:r>
      <w:r>
        <w:t>applied to vary risk appetite or PAT deployment at any time in the year,</w:t>
      </w:r>
      <w:r w:rsidRPr="00177D82">
        <w:t xml:space="preserve"> to refocus </w:t>
      </w:r>
      <w:r>
        <w:t>risk management if required.</w:t>
      </w:r>
    </w:p>
    <w:p w14:paraId="4111C091" w14:textId="77777777" w:rsidR="002A21B5" w:rsidRDefault="002A21B5" w:rsidP="002A21B5">
      <w:pPr>
        <w:pStyle w:val="ListBullet"/>
        <w:numPr>
          <w:ilvl w:val="0"/>
          <w:numId w:val="0"/>
        </w:numPr>
      </w:pPr>
      <w:r>
        <w:t>Within-period revisions of the ROP are approved by the PAB and may be published for comment by PAPs and other interested parties if the PAB considers it a material change.</w:t>
      </w:r>
    </w:p>
    <w:p w14:paraId="6115545D" w14:textId="77777777" w:rsidR="002A21B5" w:rsidRDefault="002A21B5" w:rsidP="002A21B5">
      <w:pPr>
        <w:spacing w:after="0" w:line="240" w:lineRule="auto"/>
      </w:pPr>
    </w:p>
    <w:p w14:paraId="0A525DE3" w14:textId="77777777" w:rsidR="002A21B5" w:rsidRDefault="003710E8" w:rsidP="002A21B5">
      <w:pPr>
        <w:pStyle w:val="Heading"/>
      </w:pPr>
      <w:bookmarkStart w:id="8" w:name="_Toc35421312"/>
      <w:r>
        <w:t>How we deliver the plan</w:t>
      </w:r>
      <w:bookmarkEnd w:id="8"/>
    </w:p>
    <w:p w14:paraId="14E888BC" w14:textId="77777777" w:rsidR="002A21B5" w:rsidRDefault="002A21B5" w:rsidP="002A21B5">
      <w:pPr>
        <w:pStyle w:val="BodyText"/>
      </w:pPr>
      <w:r>
        <w:t xml:space="preserve">The PAB deploys the techniques as planned in this ROP against individual PAPs via Risk Management Determinations (RMD), in order to meet the Target Impacts.  A log of RMDs is maintained by the PAB Secretary, except for techniques such as Supplier Charges or PARMS Serials, which are mandated to all PAPs in the relevant party type on a continuous basis. </w:t>
      </w:r>
    </w:p>
    <w:p w14:paraId="37D261C6" w14:textId="2998B6D7" w:rsidR="002A21B5" w:rsidRDefault="002A21B5" w:rsidP="002A21B5">
      <w:pPr>
        <w:pStyle w:val="BodyText"/>
      </w:pPr>
      <w:r>
        <w:t xml:space="preserve">ELEXON will produce the Annual Performance Assurance Report (APAR) for each PAOP, which will provide commentary on what was actioned and achieved in the year, and a comparison of costs against those forecast in the relevant ROP. </w:t>
      </w:r>
      <w:r w:rsidR="00E37590">
        <w:t>In addition, ELEXON will publish</w:t>
      </w:r>
      <w:r>
        <w:t xml:space="preserve"> Quarterly Performance Assurance Reports (QPAR) throughout the PAOP to update and address points of progress.</w:t>
      </w:r>
    </w:p>
    <w:p w14:paraId="1CFDBBBA" w14:textId="77777777" w:rsidR="002A21B5" w:rsidRDefault="002A21B5" w:rsidP="002A21B5">
      <w:pPr>
        <w:pStyle w:val="BodyText"/>
        <w:rPr>
          <w:color w:val="0090AB" w:themeColor="text2"/>
          <w:sz w:val="22"/>
          <w:szCs w:val="22"/>
        </w:rPr>
      </w:pPr>
      <w:r>
        <w:br w:type="page"/>
      </w:r>
    </w:p>
    <w:p w14:paraId="4D179D65" w14:textId="77777777" w:rsidR="001C5CD5" w:rsidRDefault="001C5CD5" w:rsidP="00581CCB">
      <w:pPr>
        <w:pStyle w:val="Sectionheading"/>
      </w:pPr>
      <w:bookmarkStart w:id="9" w:name="_Toc35421313"/>
      <w:r>
        <w:t>Executive summary</w:t>
      </w:r>
      <w:bookmarkEnd w:id="9"/>
    </w:p>
    <w:p w14:paraId="1DFE08D4" w14:textId="77777777" w:rsidR="00265996" w:rsidRDefault="00265996" w:rsidP="00912411">
      <w:pPr>
        <w:pStyle w:val="BodyText"/>
      </w:pPr>
      <w:r>
        <w:t>The Risk Operating Plan</w:t>
      </w:r>
      <w:r w:rsidR="00456CF2">
        <w:t xml:space="preserve"> </w:t>
      </w:r>
      <w:r w:rsidR="00FE6BF3">
        <w:t>(ROP)</w:t>
      </w:r>
      <w:r>
        <w:t xml:space="preserve"> is a key Performance Assurance </w:t>
      </w:r>
      <w:r w:rsidR="00864213">
        <w:t>d</w:t>
      </w:r>
      <w:r>
        <w:t>ocument, as it sets out how ELEXON, as the Performance Assurance Administrator</w:t>
      </w:r>
      <w:r w:rsidR="00500DE5">
        <w:t xml:space="preserve"> (PAA)</w:t>
      </w:r>
      <w:r>
        <w:t xml:space="preserve">, will seek to mitigate Settlement Risks within the Electricity Market. </w:t>
      </w:r>
    </w:p>
    <w:p w14:paraId="35A57E64" w14:textId="77777777" w:rsidR="006E30CA" w:rsidRDefault="00265996" w:rsidP="00912411">
      <w:pPr>
        <w:pStyle w:val="BodyText"/>
      </w:pPr>
      <w:r>
        <w:t>Using the approved Risk Evaluation Methodology</w:t>
      </w:r>
      <w:r w:rsidR="00456CF2">
        <w:t xml:space="preserve"> </w:t>
      </w:r>
      <w:r w:rsidR="008C6431">
        <w:t>(REM)</w:t>
      </w:r>
      <w:r>
        <w:t xml:space="preserve"> to score and evaluate </w:t>
      </w:r>
      <w:r w:rsidR="00864213">
        <w:t>r</w:t>
      </w:r>
      <w:r>
        <w:t>isk</w:t>
      </w:r>
      <w:r w:rsidR="00864213">
        <w:t>s,</w:t>
      </w:r>
      <w:r>
        <w:t xml:space="preserve"> </w:t>
      </w:r>
      <w:r w:rsidR="00864213">
        <w:t xml:space="preserve">documented in the </w:t>
      </w:r>
      <w:r>
        <w:t>Risk Evaluation Register</w:t>
      </w:r>
      <w:r w:rsidR="00755648">
        <w:t xml:space="preserve"> </w:t>
      </w:r>
      <w:r w:rsidR="008C6431">
        <w:t>(RER)</w:t>
      </w:r>
      <w:r>
        <w:t xml:space="preserve">, this </w:t>
      </w:r>
      <w:r w:rsidR="00500DE5">
        <w:t>p</w:t>
      </w:r>
      <w:r>
        <w:t>lan creates a prioritisation and focus of that register, as instructed by the Performance Assurance Board</w:t>
      </w:r>
      <w:r w:rsidR="00500DE5">
        <w:t xml:space="preserve"> (PAB)</w:t>
      </w:r>
      <w:r>
        <w:t>.</w:t>
      </w:r>
    </w:p>
    <w:p w14:paraId="28EE7FD9" w14:textId="77777777" w:rsidR="006E30CA" w:rsidRDefault="006E30CA" w:rsidP="006E30CA">
      <w:pPr>
        <w:pStyle w:val="Heading"/>
      </w:pPr>
      <w:bookmarkStart w:id="10" w:name="_Toc35421314"/>
      <w:r>
        <w:t>Performance in 2019/20</w:t>
      </w:r>
      <w:bookmarkEnd w:id="10"/>
    </w:p>
    <w:p w14:paraId="60AB602D" w14:textId="77777777" w:rsidR="006E30CA" w:rsidRDefault="009B442D" w:rsidP="006E30CA">
      <w:pPr>
        <w:pStyle w:val="BodyText"/>
      </w:pPr>
      <w:r>
        <w:t>ELEXON</w:t>
      </w:r>
      <w:r w:rsidR="006E30CA">
        <w:t xml:space="preserve"> chose to focus on 8 key risks during this Performance Assurance Operating period. </w:t>
      </w:r>
    </w:p>
    <w:p w14:paraId="29958EF7" w14:textId="77777777" w:rsidR="00E278C0" w:rsidRDefault="00E278C0" w:rsidP="006E30CA">
      <w:pPr>
        <w:pStyle w:val="BodyText"/>
      </w:pPr>
    </w:p>
    <w:p w14:paraId="699A73CB" w14:textId="77777777" w:rsidR="00E278C0" w:rsidRPr="00E278C0" w:rsidRDefault="00E278C0" w:rsidP="00E278C0">
      <w:pPr>
        <w:pStyle w:val="ListBullet"/>
      </w:pPr>
      <w:r w:rsidRPr="00E278C0">
        <w:t>SVA Metering Equipment is installed, programmed or maintained incorrectly including where Commissioning is performed incorrectly or not at all – risk no. 3</w:t>
      </w:r>
    </w:p>
    <w:p w14:paraId="65591952" w14:textId="77777777" w:rsidR="00E278C0" w:rsidRDefault="00E278C0" w:rsidP="00E278C0">
      <w:pPr>
        <w:pStyle w:val="ListBullet"/>
      </w:pPr>
      <w:r w:rsidRPr="00E278C0">
        <w:t>A fault with SVA Metering Equipment is not resolved, such that metered data is recorded incorrectly or cannot be retrieved – risk no. 5</w:t>
      </w:r>
    </w:p>
    <w:p w14:paraId="262D522E" w14:textId="77777777" w:rsidR="00370117" w:rsidRDefault="00370117" w:rsidP="00370117">
      <w:pPr>
        <w:pStyle w:val="ListBullet"/>
      </w:pPr>
      <w:r w:rsidRPr="00E278C0">
        <w:t>SVA Metered data is not retrieved, such that the proportion of estimated data being used in Settlement contributes to performance standards not being met – risk no. 7</w:t>
      </w:r>
    </w:p>
    <w:p w14:paraId="33B67E10" w14:textId="77777777" w:rsidR="00370117" w:rsidRPr="00E278C0" w:rsidRDefault="00370117" w:rsidP="00370117">
      <w:pPr>
        <w:pStyle w:val="ListBullet"/>
      </w:pPr>
      <w:r w:rsidRPr="00E278C0">
        <w:t>Unmetered Supplies volumes are calculated incorrectly or not at all – risk no. 11</w:t>
      </w:r>
    </w:p>
    <w:p w14:paraId="7B0EECFF" w14:textId="77777777" w:rsidR="00370117" w:rsidRPr="00E278C0" w:rsidRDefault="00370117" w:rsidP="00370117">
      <w:pPr>
        <w:pStyle w:val="ListBullet"/>
      </w:pPr>
      <w:r w:rsidRPr="00E278C0">
        <w:t>The energisation status held in SMRS or by any party in the Supplier Hub does not match the physical energisation status of the SVA Metering System – risk no. 16</w:t>
      </w:r>
    </w:p>
    <w:p w14:paraId="06A6F3E4" w14:textId="77777777" w:rsidR="00370117" w:rsidRDefault="00370117" w:rsidP="00370117">
      <w:pPr>
        <w:pStyle w:val="ListBullet"/>
      </w:pPr>
      <w:r w:rsidRPr="00E278C0">
        <w:t>Revenue Protection processes are not managed sufficiently, such that unrecorded energy volumes are excluded from Settlement – risk no. 18</w:t>
      </w:r>
    </w:p>
    <w:p w14:paraId="4DE7320B" w14:textId="77777777" w:rsidR="00370117" w:rsidRDefault="00370117" w:rsidP="00370117">
      <w:pPr>
        <w:pStyle w:val="ListBullet"/>
      </w:pPr>
      <w:r w:rsidRPr="00E278C0">
        <w:t>CVA metered data is not retrieved, or processed correctly, or at all, by the CDCA – risk no. 21</w:t>
      </w:r>
    </w:p>
    <w:p w14:paraId="39779D06" w14:textId="77777777" w:rsidR="00E278C0" w:rsidRDefault="00E278C0" w:rsidP="00370117">
      <w:pPr>
        <w:pStyle w:val="ListBullet"/>
      </w:pPr>
      <w:r w:rsidRPr="00E278C0">
        <w:t>A fault with CVA Metering Equipment is not resolved, such that metered data is recorded incorrectly or cannot be retrieved – risk no. 23</w:t>
      </w:r>
    </w:p>
    <w:p w14:paraId="3CCFBE87" w14:textId="77777777" w:rsidR="00F01DFE" w:rsidRPr="00E278C0" w:rsidRDefault="00F01DFE" w:rsidP="00F01DFE">
      <w:pPr>
        <w:pStyle w:val="ListBullet"/>
        <w:numPr>
          <w:ilvl w:val="0"/>
          <w:numId w:val="0"/>
        </w:numPr>
        <w:ind w:left="1021"/>
      </w:pPr>
    </w:p>
    <w:p w14:paraId="08CD2899" w14:textId="77777777" w:rsidR="00E278C0" w:rsidRDefault="00E278C0" w:rsidP="006E30CA">
      <w:pPr>
        <w:pStyle w:val="BodyText"/>
      </w:pPr>
      <w:r>
        <w:t xml:space="preserve">The </w:t>
      </w:r>
      <w:r w:rsidR="00F01DFE">
        <w:t xml:space="preserve">selection of risks for specific focus were with an aim to reduce and mitigate risk impact, risk volatility or to better assess risks where </w:t>
      </w:r>
      <w:r w:rsidR="007454C2">
        <w:t xml:space="preserve">ELEXON had limited data or understanding of risk factors and controls. </w:t>
      </w:r>
    </w:p>
    <w:p w14:paraId="419B2A1B" w14:textId="77777777" w:rsidR="007454C2" w:rsidRDefault="007454C2" w:rsidP="006E30CA">
      <w:pPr>
        <w:pStyle w:val="BodyText"/>
      </w:pPr>
    </w:p>
    <w:p w14:paraId="78AB344F" w14:textId="0EDBC769" w:rsidR="009456F1" w:rsidRDefault="009456F1" w:rsidP="00E37590">
      <w:pPr>
        <w:pStyle w:val="BodyText"/>
      </w:pPr>
      <w:r>
        <w:t xml:space="preserve">During this period, the Total Risk Impact across all risks has reduced from </w:t>
      </w:r>
      <w:r w:rsidRPr="009456F1">
        <w:rPr>
          <w:b/>
        </w:rPr>
        <w:t>£290m to £269m</w:t>
      </w:r>
      <w:r w:rsidR="00E37590">
        <w:rPr>
          <w:b/>
        </w:rPr>
        <w:t>, a 7.25% reduction</w:t>
      </w:r>
      <w:r w:rsidRPr="009456F1">
        <w:rPr>
          <w:b/>
        </w:rPr>
        <w:t>.</w:t>
      </w:r>
      <w:r>
        <w:t xml:space="preserve"> We present this number as a useful view of the scale of potential Settlement Error only - it would be misleading to sum the forecast error of each risk to a total amount of error, due to the amount of assumptions and as individual errors can manifest in multiple risks as the impact works along the “meter-bank” process.</w:t>
      </w:r>
    </w:p>
    <w:p w14:paraId="5B02A71E" w14:textId="77777777" w:rsidR="007454C2" w:rsidRDefault="009456F1" w:rsidP="009456F1">
      <w:pPr>
        <w:pStyle w:val="BodyText"/>
      </w:pPr>
      <w:r>
        <w:t xml:space="preserve">In addition, this reduction in Total Risk Impact can be attributed to both improvements in our assessment of Risk and mitigations carried out by Risk Owners, who are specifically tasked with managing their risks. </w:t>
      </w:r>
    </w:p>
    <w:p w14:paraId="0FD223CF" w14:textId="77777777" w:rsidR="007454C2" w:rsidRDefault="007454C2" w:rsidP="009456F1">
      <w:pPr>
        <w:pStyle w:val="BodyText"/>
      </w:pPr>
    </w:p>
    <w:p w14:paraId="0BB483FC" w14:textId="77777777" w:rsidR="008D445A" w:rsidRDefault="00915B16" w:rsidP="009456F1">
      <w:pPr>
        <w:pStyle w:val="BodyText"/>
      </w:pPr>
      <w:r>
        <w:t>There have been movements in both ri</w:t>
      </w:r>
      <w:r w:rsidR="008D445A">
        <w:t xml:space="preserve">sk impact and risk volatility. </w:t>
      </w:r>
    </w:p>
    <w:p w14:paraId="27380E79" w14:textId="77777777" w:rsidR="008D445A" w:rsidRDefault="008D445A" w:rsidP="00243FE6">
      <w:pPr>
        <w:pStyle w:val="Boldheading"/>
      </w:pPr>
      <w:r>
        <w:t>Risk Impact – The most pl</w:t>
      </w:r>
      <w:r w:rsidR="00C922BC">
        <w:t>ausible estimated error for each</w:t>
      </w:r>
      <w:r>
        <w:t xml:space="preserve"> risk (middle impact)</w:t>
      </w:r>
      <w:r w:rsidR="00C922BC">
        <w:t>.</w:t>
      </w:r>
    </w:p>
    <w:p w14:paraId="2C900D14" w14:textId="77777777" w:rsidR="007454C2" w:rsidRDefault="008D445A" w:rsidP="00243FE6">
      <w:pPr>
        <w:pStyle w:val="Boldheading"/>
      </w:pPr>
      <w:r>
        <w:t>Risk Volatility – the difference between the middle and upper impact of a risk</w:t>
      </w:r>
      <w:r w:rsidR="00C922BC">
        <w:t>.</w:t>
      </w:r>
    </w:p>
    <w:p w14:paraId="2D5278EE" w14:textId="77777777" w:rsidR="008C3121" w:rsidRDefault="00684B75" w:rsidP="00E901D4">
      <w:pPr>
        <w:pStyle w:val="Boldheading"/>
      </w:pPr>
      <w:r>
        <w:t>Top 5 Decreases in Risk Impact and Volatility (Following re-assessment of Risk)</w:t>
      </w:r>
    </w:p>
    <w:tbl>
      <w:tblPr>
        <w:tblW w:w="5000" w:type="pct"/>
        <w:tblLayout w:type="fixed"/>
        <w:tblLook w:val="04A0" w:firstRow="1" w:lastRow="0" w:firstColumn="1" w:lastColumn="0" w:noHBand="0" w:noVBand="1"/>
      </w:tblPr>
      <w:tblGrid>
        <w:gridCol w:w="277"/>
        <w:gridCol w:w="1561"/>
        <w:gridCol w:w="992"/>
        <w:gridCol w:w="851"/>
        <w:gridCol w:w="1247"/>
        <w:gridCol w:w="243"/>
        <w:gridCol w:w="278"/>
        <w:gridCol w:w="1775"/>
        <w:gridCol w:w="1136"/>
        <w:gridCol w:w="849"/>
        <w:gridCol w:w="1099"/>
      </w:tblGrid>
      <w:tr w:rsidR="008A6A36" w:rsidRPr="00FF0F16" w14:paraId="69E55D47" w14:textId="77777777" w:rsidTr="008A6A36">
        <w:trPr>
          <w:trHeight w:val="510"/>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612EF"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 </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2E4137D0" w14:textId="77777777" w:rsidR="00FF0F16" w:rsidRPr="00FF0F16" w:rsidRDefault="00FF0F16" w:rsidP="00FF0F16">
            <w:pPr>
              <w:spacing w:after="0" w:line="240" w:lineRule="auto"/>
              <w:rPr>
                <w:rFonts w:asciiTheme="minorHAnsi" w:hAnsiTheme="minorHAnsi" w:cstheme="minorHAnsi"/>
                <w:b/>
                <w:bCs/>
                <w:color w:val="000000"/>
                <w:sz w:val="16"/>
                <w:szCs w:val="22"/>
                <w:lang w:eastAsia="en-GB"/>
              </w:rPr>
            </w:pPr>
            <w:r w:rsidRPr="00FF0F16">
              <w:rPr>
                <w:rFonts w:asciiTheme="minorHAnsi" w:hAnsiTheme="minorHAnsi" w:cstheme="minorHAnsi"/>
                <w:b/>
                <w:bCs/>
                <w:color w:val="000000"/>
                <w:sz w:val="16"/>
                <w:szCs w:val="22"/>
                <w:lang w:eastAsia="en-GB"/>
              </w:rPr>
              <w:t>Decrease in Risk Impact</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1706EA00" w14:textId="77777777" w:rsidR="00FF0F16" w:rsidRPr="00FF0F16" w:rsidRDefault="00FF0F16" w:rsidP="008A6A36">
            <w:pPr>
              <w:spacing w:after="0" w:line="240" w:lineRule="auto"/>
              <w:jc w:val="center"/>
              <w:rPr>
                <w:rFonts w:asciiTheme="minorHAnsi" w:hAnsiTheme="minorHAnsi" w:cstheme="minorHAnsi"/>
                <w:b/>
                <w:bCs/>
                <w:color w:val="000000"/>
                <w:sz w:val="16"/>
                <w:szCs w:val="22"/>
                <w:lang w:eastAsia="en-GB"/>
              </w:rPr>
            </w:pPr>
            <w:r w:rsidRPr="00FF0F16">
              <w:rPr>
                <w:rFonts w:asciiTheme="minorHAnsi" w:hAnsiTheme="minorHAnsi" w:cstheme="minorHAnsi"/>
                <w:b/>
                <w:bCs/>
                <w:color w:val="000000"/>
                <w:sz w:val="16"/>
                <w:szCs w:val="22"/>
                <w:lang w:eastAsia="en-GB"/>
              </w:rPr>
              <w:t>SVA/CVA</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14:paraId="7F4BC7C1" w14:textId="77777777" w:rsidR="00FF0F16" w:rsidRPr="00FF0F16" w:rsidRDefault="008C3121" w:rsidP="008A6A36">
            <w:pPr>
              <w:spacing w:after="0" w:line="240" w:lineRule="auto"/>
              <w:jc w:val="center"/>
              <w:rPr>
                <w:rFonts w:asciiTheme="minorHAnsi" w:hAnsiTheme="minorHAnsi" w:cstheme="minorHAnsi"/>
                <w:b/>
                <w:bCs/>
                <w:color w:val="000000"/>
                <w:sz w:val="16"/>
                <w:szCs w:val="22"/>
                <w:lang w:eastAsia="en-GB"/>
              </w:rPr>
            </w:pPr>
            <w:r w:rsidRPr="008A6A36">
              <w:rPr>
                <w:rFonts w:asciiTheme="minorHAnsi" w:hAnsiTheme="minorHAnsi" w:cstheme="minorHAnsi"/>
                <w:b/>
                <w:bCs/>
                <w:color w:val="000000"/>
                <w:sz w:val="16"/>
                <w:szCs w:val="22"/>
                <w:lang w:eastAsia="en-GB"/>
              </w:rPr>
              <w:t>Risk Impact</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193B3B70" w14:textId="77777777" w:rsidR="00FF0F16" w:rsidRPr="00FF0F16" w:rsidRDefault="00FF0F16" w:rsidP="008A6A36">
            <w:pPr>
              <w:spacing w:after="0" w:line="240" w:lineRule="auto"/>
              <w:jc w:val="center"/>
              <w:rPr>
                <w:rFonts w:asciiTheme="minorHAnsi" w:hAnsiTheme="minorHAnsi" w:cstheme="minorHAnsi"/>
                <w:b/>
                <w:bCs/>
                <w:color w:val="000000"/>
                <w:sz w:val="16"/>
                <w:szCs w:val="22"/>
                <w:lang w:eastAsia="en-GB"/>
              </w:rPr>
            </w:pPr>
            <w:r w:rsidRPr="00FF0F16">
              <w:rPr>
                <w:rFonts w:asciiTheme="minorHAnsi" w:hAnsiTheme="minorHAnsi" w:cstheme="minorHAnsi"/>
                <w:b/>
                <w:bCs/>
                <w:color w:val="000000"/>
                <w:sz w:val="16"/>
                <w:szCs w:val="22"/>
                <w:lang w:eastAsia="en-GB"/>
              </w:rPr>
              <w:t>Impact Change (-)</w:t>
            </w:r>
          </w:p>
        </w:tc>
        <w:tc>
          <w:tcPr>
            <w:tcW w:w="118" w:type="pct"/>
            <w:tcBorders>
              <w:top w:val="nil"/>
              <w:left w:val="nil"/>
              <w:bottom w:val="nil"/>
              <w:right w:val="single" w:sz="4" w:space="0" w:color="auto"/>
            </w:tcBorders>
            <w:shd w:val="clear" w:color="000000" w:fill="FFFFFF"/>
            <w:noWrap/>
            <w:vAlign w:val="center"/>
            <w:hideMark/>
          </w:tcPr>
          <w:p w14:paraId="10640923" w14:textId="77777777" w:rsidR="00FF0F16" w:rsidRPr="00FF0F16" w:rsidRDefault="00FF0F16" w:rsidP="00FF0F16">
            <w:pPr>
              <w:spacing w:after="0" w:line="240" w:lineRule="auto"/>
              <w:rPr>
                <w:rFonts w:asciiTheme="minorHAnsi" w:hAnsiTheme="minorHAnsi" w:cstheme="minorHAnsi"/>
                <w:b/>
                <w:bCs/>
                <w:color w:val="000000"/>
                <w:sz w:val="16"/>
                <w:szCs w:val="22"/>
                <w:lang w:eastAsia="en-GB"/>
              </w:rPr>
            </w:pPr>
            <w:r w:rsidRPr="00FF0F16">
              <w:rPr>
                <w:rFonts w:asciiTheme="minorHAnsi" w:hAnsiTheme="minorHAnsi" w:cstheme="minorHAnsi"/>
                <w:b/>
                <w:bCs/>
                <w:color w:val="000000"/>
                <w:sz w:val="16"/>
                <w:szCs w:val="22"/>
                <w:lang w:eastAsia="en-GB"/>
              </w:rPr>
              <w:t> </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14:paraId="68BF4832"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 </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14:paraId="0D41A71E" w14:textId="77777777" w:rsidR="00FF0F16" w:rsidRPr="00FF0F16" w:rsidRDefault="00FF0F16" w:rsidP="008C3121">
            <w:pPr>
              <w:spacing w:after="0" w:line="240" w:lineRule="auto"/>
              <w:rPr>
                <w:rFonts w:asciiTheme="minorHAnsi" w:hAnsiTheme="minorHAnsi" w:cstheme="minorHAnsi"/>
                <w:b/>
                <w:bCs/>
                <w:color w:val="000000"/>
                <w:sz w:val="16"/>
                <w:szCs w:val="22"/>
                <w:lang w:eastAsia="en-GB"/>
              </w:rPr>
            </w:pPr>
            <w:r w:rsidRPr="00FF0F16">
              <w:rPr>
                <w:rFonts w:asciiTheme="minorHAnsi" w:hAnsiTheme="minorHAnsi" w:cstheme="minorHAnsi"/>
                <w:b/>
                <w:bCs/>
                <w:color w:val="000000"/>
                <w:sz w:val="16"/>
                <w:szCs w:val="22"/>
                <w:lang w:eastAsia="en-GB"/>
              </w:rPr>
              <w:t xml:space="preserve">Decrease in Risk </w:t>
            </w:r>
            <w:r w:rsidR="008C3121" w:rsidRPr="008A6A36">
              <w:rPr>
                <w:rFonts w:asciiTheme="minorHAnsi" w:hAnsiTheme="minorHAnsi" w:cstheme="minorHAnsi"/>
                <w:b/>
                <w:bCs/>
                <w:color w:val="000000"/>
                <w:sz w:val="16"/>
                <w:szCs w:val="22"/>
                <w:lang w:eastAsia="en-GB"/>
              </w:rPr>
              <w:t>V</w:t>
            </w:r>
            <w:r w:rsidRPr="00FF0F16">
              <w:rPr>
                <w:rFonts w:asciiTheme="minorHAnsi" w:hAnsiTheme="minorHAnsi" w:cstheme="minorHAnsi"/>
                <w:b/>
                <w:bCs/>
                <w:color w:val="000000"/>
                <w:sz w:val="16"/>
                <w:szCs w:val="22"/>
                <w:lang w:eastAsia="en-GB"/>
              </w:rPr>
              <w:t>olatility</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2AB4F487" w14:textId="77777777" w:rsidR="00FF0F16" w:rsidRPr="00FF0F16" w:rsidRDefault="00FF0F16" w:rsidP="008A6A36">
            <w:pPr>
              <w:spacing w:after="0" w:line="240" w:lineRule="auto"/>
              <w:jc w:val="center"/>
              <w:rPr>
                <w:rFonts w:asciiTheme="minorHAnsi" w:hAnsiTheme="minorHAnsi" w:cstheme="minorHAnsi"/>
                <w:b/>
                <w:bCs/>
                <w:color w:val="000000"/>
                <w:sz w:val="16"/>
                <w:szCs w:val="22"/>
                <w:lang w:eastAsia="en-GB"/>
              </w:rPr>
            </w:pPr>
            <w:r w:rsidRPr="00FF0F16">
              <w:rPr>
                <w:rFonts w:asciiTheme="minorHAnsi" w:hAnsiTheme="minorHAnsi" w:cstheme="minorHAnsi"/>
                <w:b/>
                <w:bCs/>
                <w:color w:val="000000"/>
                <w:sz w:val="16"/>
                <w:szCs w:val="22"/>
                <w:lang w:eastAsia="en-GB"/>
              </w:rPr>
              <w:t>SVA/CVA</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B15B595" w14:textId="77777777" w:rsidR="00FF0F16" w:rsidRPr="00FF0F16" w:rsidRDefault="008C3121" w:rsidP="008A6A36">
            <w:pPr>
              <w:spacing w:after="0" w:line="240" w:lineRule="auto"/>
              <w:jc w:val="center"/>
              <w:rPr>
                <w:rFonts w:asciiTheme="minorHAnsi" w:hAnsiTheme="minorHAnsi" w:cstheme="minorHAnsi"/>
                <w:b/>
                <w:bCs/>
                <w:color w:val="000000"/>
                <w:sz w:val="16"/>
                <w:szCs w:val="22"/>
                <w:lang w:eastAsia="en-GB"/>
              </w:rPr>
            </w:pPr>
            <w:r w:rsidRPr="008A6A36">
              <w:rPr>
                <w:rFonts w:asciiTheme="minorHAnsi" w:hAnsiTheme="minorHAnsi" w:cstheme="minorHAnsi"/>
                <w:b/>
                <w:bCs/>
                <w:color w:val="000000"/>
                <w:sz w:val="16"/>
                <w:szCs w:val="22"/>
                <w:lang w:eastAsia="en-GB"/>
              </w:rPr>
              <w:t>Risk Impact</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14:paraId="0AE40D78" w14:textId="77777777" w:rsidR="00FF0F16" w:rsidRPr="00FF0F16" w:rsidRDefault="00FF0F16" w:rsidP="008A6A36">
            <w:pPr>
              <w:spacing w:after="0" w:line="240" w:lineRule="auto"/>
              <w:jc w:val="center"/>
              <w:rPr>
                <w:rFonts w:asciiTheme="minorHAnsi" w:hAnsiTheme="minorHAnsi" w:cstheme="minorHAnsi"/>
                <w:b/>
                <w:bCs/>
                <w:color w:val="000000"/>
                <w:sz w:val="16"/>
                <w:szCs w:val="22"/>
                <w:lang w:eastAsia="en-GB"/>
              </w:rPr>
            </w:pPr>
            <w:r w:rsidRPr="00FF0F16">
              <w:rPr>
                <w:rFonts w:asciiTheme="minorHAnsi" w:hAnsiTheme="minorHAnsi" w:cstheme="minorHAnsi"/>
                <w:b/>
                <w:bCs/>
                <w:color w:val="000000"/>
                <w:sz w:val="16"/>
                <w:szCs w:val="22"/>
                <w:lang w:eastAsia="en-GB"/>
              </w:rPr>
              <w:t>Volatility Change (-)</w:t>
            </w:r>
          </w:p>
        </w:tc>
      </w:tr>
      <w:tr w:rsidR="008A6A36" w:rsidRPr="00FF0F16" w14:paraId="48098B26" w14:textId="77777777" w:rsidTr="008A6A36">
        <w:trPr>
          <w:trHeight w:val="510"/>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1F385ED6"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1</w:t>
            </w:r>
          </w:p>
        </w:tc>
        <w:tc>
          <w:tcPr>
            <w:tcW w:w="757" w:type="pct"/>
            <w:tcBorders>
              <w:top w:val="nil"/>
              <w:left w:val="nil"/>
              <w:bottom w:val="single" w:sz="4" w:space="0" w:color="auto"/>
              <w:right w:val="single" w:sz="4" w:space="0" w:color="auto"/>
            </w:tcBorders>
            <w:shd w:val="clear" w:color="auto" w:fill="auto"/>
            <w:vAlign w:val="center"/>
            <w:hideMark/>
          </w:tcPr>
          <w:p w14:paraId="509AFCC0"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Retrieval of Metered Data</w:t>
            </w:r>
          </w:p>
        </w:tc>
        <w:tc>
          <w:tcPr>
            <w:tcW w:w="481" w:type="pct"/>
            <w:tcBorders>
              <w:top w:val="nil"/>
              <w:left w:val="nil"/>
              <w:bottom w:val="single" w:sz="4" w:space="0" w:color="auto"/>
              <w:right w:val="single" w:sz="4" w:space="0" w:color="auto"/>
            </w:tcBorders>
            <w:shd w:val="clear" w:color="auto" w:fill="auto"/>
            <w:noWrap/>
            <w:vAlign w:val="center"/>
            <w:hideMark/>
          </w:tcPr>
          <w:p w14:paraId="64DF36C0"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SVA</w:t>
            </w:r>
          </w:p>
        </w:tc>
        <w:tc>
          <w:tcPr>
            <w:tcW w:w="413" w:type="pct"/>
            <w:tcBorders>
              <w:top w:val="nil"/>
              <w:left w:val="nil"/>
              <w:bottom w:val="single" w:sz="4" w:space="0" w:color="auto"/>
              <w:right w:val="single" w:sz="4" w:space="0" w:color="auto"/>
            </w:tcBorders>
            <w:shd w:val="clear" w:color="auto" w:fill="auto"/>
            <w:noWrap/>
            <w:vAlign w:val="center"/>
            <w:hideMark/>
          </w:tcPr>
          <w:p w14:paraId="62445E42"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w:t>
            </w:r>
            <w:r w:rsidR="00E94535">
              <w:rPr>
                <w:rFonts w:asciiTheme="minorHAnsi" w:hAnsiTheme="minorHAnsi" w:cstheme="minorHAnsi"/>
                <w:color w:val="000000"/>
                <w:sz w:val="16"/>
                <w:szCs w:val="22"/>
                <w:lang w:eastAsia="en-GB"/>
              </w:rPr>
              <w:t>11.9</w:t>
            </w:r>
            <w:r w:rsidRPr="00FF0F16">
              <w:rPr>
                <w:rFonts w:asciiTheme="minorHAnsi" w:hAnsiTheme="minorHAnsi" w:cstheme="minorHAnsi"/>
                <w:color w:val="000000"/>
                <w:sz w:val="16"/>
                <w:szCs w:val="22"/>
                <w:lang w:eastAsia="en-GB"/>
              </w:rPr>
              <w:t>m</w:t>
            </w:r>
          </w:p>
        </w:tc>
        <w:tc>
          <w:tcPr>
            <w:tcW w:w="605" w:type="pct"/>
            <w:tcBorders>
              <w:top w:val="nil"/>
              <w:left w:val="nil"/>
              <w:bottom w:val="single" w:sz="4" w:space="0" w:color="auto"/>
              <w:right w:val="single" w:sz="4" w:space="0" w:color="auto"/>
            </w:tcBorders>
            <w:shd w:val="clear" w:color="000000" w:fill="00B050"/>
            <w:noWrap/>
            <w:vAlign w:val="center"/>
            <w:hideMark/>
          </w:tcPr>
          <w:p w14:paraId="73E0E323"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£14.9m</w:t>
            </w:r>
          </w:p>
        </w:tc>
        <w:tc>
          <w:tcPr>
            <w:tcW w:w="118" w:type="pct"/>
            <w:tcBorders>
              <w:top w:val="nil"/>
              <w:left w:val="nil"/>
              <w:bottom w:val="nil"/>
              <w:right w:val="single" w:sz="4" w:space="0" w:color="auto"/>
            </w:tcBorders>
            <w:shd w:val="clear" w:color="000000" w:fill="FFFFFF"/>
            <w:noWrap/>
            <w:vAlign w:val="center"/>
            <w:hideMark/>
          </w:tcPr>
          <w:p w14:paraId="1576BBC4"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 </w:t>
            </w:r>
          </w:p>
        </w:tc>
        <w:tc>
          <w:tcPr>
            <w:tcW w:w="135" w:type="pct"/>
            <w:tcBorders>
              <w:top w:val="nil"/>
              <w:left w:val="nil"/>
              <w:bottom w:val="single" w:sz="4" w:space="0" w:color="auto"/>
              <w:right w:val="single" w:sz="4" w:space="0" w:color="auto"/>
            </w:tcBorders>
            <w:shd w:val="clear" w:color="auto" w:fill="auto"/>
            <w:noWrap/>
            <w:vAlign w:val="center"/>
            <w:hideMark/>
          </w:tcPr>
          <w:p w14:paraId="070E0009"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1</w:t>
            </w:r>
          </w:p>
        </w:tc>
        <w:tc>
          <w:tcPr>
            <w:tcW w:w="861" w:type="pct"/>
            <w:tcBorders>
              <w:top w:val="nil"/>
              <w:left w:val="nil"/>
              <w:bottom w:val="single" w:sz="4" w:space="0" w:color="auto"/>
              <w:right w:val="single" w:sz="4" w:space="0" w:color="auto"/>
            </w:tcBorders>
            <w:shd w:val="clear" w:color="auto" w:fill="auto"/>
            <w:vAlign w:val="center"/>
            <w:hideMark/>
          </w:tcPr>
          <w:p w14:paraId="3F2404BA"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Aggregation Rules</w:t>
            </w:r>
          </w:p>
        </w:tc>
        <w:tc>
          <w:tcPr>
            <w:tcW w:w="551" w:type="pct"/>
            <w:tcBorders>
              <w:top w:val="nil"/>
              <w:left w:val="nil"/>
              <w:bottom w:val="single" w:sz="4" w:space="0" w:color="auto"/>
              <w:right w:val="single" w:sz="4" w:space="0" w:color="auto"/>
            </w:tcBorders>
            <w:shd w:val="clear" w:color="auto" w:fill="auto"/>
            <w:noWrap/>
            <w:vAlign w:val="center"/>
            <w:hideMark/>
          </w:tcPr>
          <w:p w14:paraId="63D63AE5"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CVA</w:t>
            </w:r>
          </w:p>
        </w:tc>
        <w:tc>
          <w:tcPr>
            <w:tcW w:w="412" w:type="pct"/>
            <w:tcBorders>
              <w:top w:val="nil"/>
              <w:left w:val="nil"/>
              <w:bottom w:val="single" w:sz="4" w:space="0" w:color="auto"/>
              <w:right w:val="single" w:sz="4" w:space="0" w:color="auto"/>
            </w:tcBorders>
            <w:shd w:val="clear" w:color="auto" w:fill="auto"/>
            <w:noWrap/>
            <w:vAlign w:val="center"/>
            <w:hideMark/>
          </w:tcPr>
          <w:p w14:paraId="2C9E4F8A"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£2.3m</w:t>
            </w:r>
          </w:p>
        </w:tc>
        <w:tc>
          <w:tcPr>
            <w:tcW w:w="533" w:type="pct"/>
            <w:tcBorders>
              <w:top w:val="nil"/>
              <w:left w:val="nil"/>
              <w:bottom w:val="single" w:sz="4" w:space="0" w:color="auto"/>
              <w:right w:val="single" w:sz="4" w:space="0" w:color="auto"/>
            </w:tcBorders>
            <w:shd w:val="clear" w:color="000000" w:fill="00B050"/>
            <w:noWrap/>
            <w:vAlign w:val="center"/>
            <w:hideMark/>
          </w:tcPr>
          <w:p w14:paraId="505E2DA2"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£33.1m</w:t>
            </w:r>
          </w:p>
        </w:tc>
      </w:tr>
      <w:tr w:rsidR="008A6A36" w:rsidRPr="00FF0F16" w14:paraId="7FB58FA1" w14:textId="77777777" w:rsidTr="008A6A36">
        <w:trPr>
          <w:trHeight w:val="510"/>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312C0ED7"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2</w:t>
            </w:r>
          </w:p>
        </w:tc>
        <w:tc>
          <w:tcPr>
            <w:tcW w:w="757" w:type="pct"/>
            <w:tcBorders>
              <w:top w:val="nil"/>
              <w:left w:val="nil"/>
              <w:bottom w:val="single" w:sz="4" w:space="0" w:color="auto"/>
              <w:right w:val="single" w:sz="4" w:space="0" w:color="auto"/>
            </w:tcBorders>
            <w:shd w:val="clear" w:color="auto" w:fill="auto"/>
            <w:vAlign w:val="center"/>
            <w:hideMark/>
          </w:tcPr>
          <w:p w14:paraId="02422660"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Metering Equipment installation, programming,  maintenance and Commissioning</w:t>
            </w:r>
          </w:p>
        </w:tc>
        <w:tc>
          <w:tcPr>
            <w:tcW w:w="481" w:type="pct"/>
            <w:tcBorders>
              <w:top w:val="nil"/>
              <w:left w:val="nil"/>
              <w:bottom w:val="single" w:sz="4" w:space="0" w:color="auto"/>
              <w:right w:val="single" w:sz="4" w:space="0" w:color="auto"/>
            </w:tcBorders>
            <w:shd w:val="clear" w:color="auto" w:fill="auto"/>
            <w:noWrap/>
            <w:vAlign w:val="center"/>
            <w:hideMark/>
          </w:tcPr>
          <w:p w14:paraId="3EC6E34D"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CVA</w:t>
            </w:r>
          </w:p>
        </w:tc>
        <w:tc>
          <w:tcPr>
            <w:tcW w:w="413" w:type="pct"/>
            <w:tcBorders>
              <w:top w:val="nil"/>
              <w:left w:val="nil"/>
              <w:bottom w:val="single" w:sz="4" w:space="0" w:color="auto"/>
              <w:right w:val="single" w:sz="4" w:space="0" w:color="auto"/>
            </w:tcBorders>
            <w:shd w:val="clear" w:color="auto" w:fill="auto"/>
            <w:noWrap/>
            <w:vAlign w:val="center"/>
            <w:hideMark/>
          </w:tcPr>
          <w:p w14:paraId="6F0AE42D"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£1m</w:t>
            </w:r>
          </w:p>
        </w:tc>
        <w:tc>
          <w:tcPr>
            <w:tcW w:w="605" w:type="pct"/>
            <w:tcBorders>
              <w:top w:val="nil"/>
              <w:left w:val="nil"/>
              <w:bottom w:val="single" w:sz="4" w:space="0" w:color="auto"/>
              <w:right w:val="single" w:sz="4" w:space="0" w:color="auto"/>
            </w:tcBorders>
            <w:shd w:val="clear" w:color="000000" w:fill="00B050"/>
            <w:noWrap/>
            <w:vAlign w:val="center"/>
            <w:hideMark/>
          </w:tcPr>
          <w:p w14:paraId="0FE09613"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£12.9m</w:t>
            </w:r>
          </w:p>
        </w:tc>
        <w:tc>
          <w:tcPr>
            <w:tcW w:w="118" w:type="pct"/>
            <w:tcBorders>
              <w:top w:val="nil"/>
              <w:left w:val="nil"/>
              <w:bottom w:val="nil"/>
              <w:right w:val="single" w:sz="4" w:space="0" w:color="auto"/>
            </w:tcBorders>
            <w:shd w:val="clear" w:color="000000" w:fill="FFFFFF"/>
            <w:noWrap/>
            <w:vAlign w:val="center"/>
            <w:hideMark/>
          </w:tcPr>
          <w:p w14:paraId="35EA16F8"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 </w:t>
            </w:r>
          </w:p>
        </w:tc>
        <w:tc>
          <w:tcPr>
            <w:tcW w:w="135" w:type="pct"/>
            <w:tcBorders>
              <w:top w:val="nil"/>
              <w:left w:val="nil"/>
              <w:bottom w:val="single" w:sz="4" w:space="0" w:color="auto"/>
              <w:right w:val="single" w:sz="4" w:space="0" w:color="auto"/>
            </w:tcBorders>
            <w:shd w:val="clear" w:color="auto" w:fill="auto"/>
            <w:noWrap/>
            <w:vAlign w:val="center"/>
            <w:hideMark/>
          </w:tcPr>
          <w:p w14:paraId="707FE72E"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2</w:t>
            </w:r>
          </w:p>
        </w:tc>
        <w:tc>
          <w:tcPr>
            <w:tcW w:w="861" w:type="pct"/>
            <w:tcBorders>
              <w:top w:val="nil"/>
              <w:left w:val="nil"/>
              <w:bottom w:val="single" w:sz="4" w:space="0" w:color="auto"/>
              <w:right w:val="single" w:sz="4" w:space="0" w:color="auto"/>
            </w:tcBorders>
            <w:shd w:val="clear" w:color="auto" w:fill="auto"/>
            <w:vAlign w:val="center"/>
            <w:hideMark/>
          </w:tcPr>
          <w:p w14:paraId="75D4CDAA"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Retrieval of Metered Data</w:t>
            </w:r>
          </w:p>
        </w:tc>
        <w:tc>
          <w:tcPr>
            <w:tcW w:w="551" w:type="pct"/>
            <w:tcBorders>
              <w:top w:val="nil"/>
              <w:left w:val="nil"/>
              <w:bottom w:val="single" w:sz="4" w:space="0" w:color="auto"/>
              <w:right w:val="single" w:sz="4" w:space="0" w:color="auto"/>
            </w:tcBorders>
            <w:shd w:val="clear" w:color="auto" w:fill="auto"/>
            <w:noWrap/>
            <w:vAlign w:val="center"/>
            <w:hideMark/>
          </w:tcPr>
          <w:p w14:paraId="7FE2D9A1"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SVA</w:t>
            </w:r>
          </w:p>
        </w:tc>
        <w:tc>
          <w:tcPr>
            <w:tcW w:w="412" w:type="pct"/>
            <w:tcBorders>
              <w:top w:val="nil"/>
              <w:left w:val="nil"/>
              <w:bottom w:val="single" w:sz="4" w:space="0" w:color="auto"/>
              <w:right w:val="single" w:sz="4" w:space="0" w:color="auto"/>
            </w:tcBorders>
            <w:shd w:val="clear" w:color="auto" w:fill="auto"/>
            <w:noWrap/>
            <w:vAlign w:val="center"/>
            <w:hideMark/>
          </w:tcPr>
          <w:p w14:paraId="3CC404D4"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£11.8m</w:t>
            </w:r>
          </w:p>
        </w:tc>
        <w:tc>
          <w:tcPr>
            <w:tcW w:w="533" w:type="pct"/>
            <w:tcBorders>
              <w:top w:val="nil"/>
              <w:left w:val="nil"/>
              <w:bottom w:val="single" w:sz="4" w:space="0" w:color="auto"/>
              <w:right w:val="single" w:sz="4" w:space="0" w:color="auto"/>
            </w:tcBorders>
            <w:shd w:val="clear" w:color="000000" w:fill="00B050"/>
            <w:noWrap/>
            <w:vAlign w:val="center"/>
            <w:hideMark/>
          </w:tcPr>
          <w:p w14:paraId="46F9FEEC"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£26.5m</w:t>
            </w:r>
          </w:p>
        </w:tc>
      </w:tr>
      <w:tr w:rsidR="008A6A36" w:rsidRPr="00FF0F16" w14:paraId="7F7E8316" w14:textId="77777777" w:rsidTr="008A6A36">
        <w:trPr>
          <w:trHeight w:val="510"/>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735402E7"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3</w:t>
            </w:r>
          </w:p>
        </w:tc>
        <w:tc>
          <w:tcPr>
            <w:tcW w:w="757" w:type="pct"/>
            <w:tcBorders>
              <w:top w:val="nil"/>
              <w:left w:val="nil"/>
              <w:bottom w:val="single" w:sz="4" w:space="0" w:color="auto"/>
              <w:right w:val="single" w:sz="4" w:space="0" w:color="auto"/>
            </w:tcBorders>
            <w:shd w:val="clear" w:color="auto" w:fill="auto"/>
            <w:vAlign w:val="center"/>
            <w:hideMark/>
          </w:tcPr>
          <w:p w14:paraId="79005C03"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Unmetered Supplies</w:t>
            </w:r>
          </w:p>
        </w:tc>
        <w:tc>
          <w:tcPr>
            <w:tcW w:w="481" w:type="pct"/>
            <w:tcBorders>
              <w:top w:val="nil"/>
              <w:left w:val="nil"/>
              <w:bottom w:val="single" w:sz="4" w:space="0" w:color="auto"/>
              <w:right w:val="single" w:sz="4" w:space="0" w:color="auto"/>
            </w:tcBorders>
            <w:shd w:val="clear" w:color="auto" w:fill="auto"/>
            <w:noWrap/>
            <w:vAlign w:val="center"/>
            <w:hideMark/>
          </w:tcPr>
          <w:p w14:paraId="1DD6E849"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SVA</w:t>
            </w:r>
          </w:p>
        </w:tc>
        <w:tc>
          <w:tcPr>
            <w:tcW w:w="413" w:type="pct"/>
            <w:tcBorders>
              <w:top w:val="nil"/>
              <w:left w:val="nil"/>
              <w:bottom w:val="single" w:sz="4" w:space="0" w:color="auto"/>
              <w:right w:val="single" w:sz="4" w:space="0" w:color="auto"/>
            </w:tcBorders>
            <w:shd w:val="clear" w:color="auto" w:fill="auto"/>
            <w:noWrap/>
            <w:vAlign w:val="center"/>
            <w:hideMark/>
          </w:tcPr>
          <w:p w14:paraId="589A0279"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£7.8m</w:t>
            </w:r>
          </w:p>
        </w:tc>
        <w:tc>
          <w:tcPr>
            <w:tcW w:w="605" w:type="pct"/>
            <w:tcBorders>
              <w:top w:val="nil"/>
              <w:left w:val="nil"/>
              <w:bottom w:val="single" w:sz="4" w:space="0" w:color="auto"/>
              <w:right w:val="single" w:sz="4" w:space="0" w:color="auto"/>
            </w:tcBorders>
            <w:shd w:val="clear" w:color="000000" w:fill="00B050"/>
            <w:noWrap/>
            <w:vAlign w:val="center"/>
            <w:hideMark/>
          </w:tcPr>
          <w:p w14:paraId="275DC083"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£9.8m</w:t>
            </w:r>
          </w:p>
        </w:tc>
        <w:tc>
          <w:tcPr>
            <w:tcW w:w="118" w:type="pct"/>
            <w:tcBorders>
              <w:top w:val="nil"/>
              <w:left w:val="nil"/>
              <w:bottom w:val="nil"/>
              <w:right w:val="single" w:sz="4" w:space="0" w:color="auto"/>
            </w:tcBorders>
            <w:shd w:val="clear" w:color="000000" w:fill="FFFFFF"/>
            <w:noWrap/>
            <w:vAlign w:val="center"/>
            <w:hideMark/>
          </w:tcPr>
          <w:p w14:paraId="52AF3249"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 </w:t>
            </w:r>
          </w:p>
        </w:tc>
        <w:tc>
          <w:tcPr>
            <w:tcW w:w="135" w:type="pct"/>
            <w:tcBorders>
              <w:top w:val="nil"/>
              <w:left w:val="nil"/>
              <w:bottom w:val="single" w:sz="4" w:space="0" w:color="auto"/>
              <w:right w:val="single" w:sz="4" w:space="0" w:color="auto"/>
            </w:tcBorders>
            <w:shd w:val="clear" w:color="auto" w:fill="auto"/>
            <w:noWrap/>
            <w:vAlign w:val="center"/>
            <w:hideMark/>
          </w:tcPr>
          <w:p w14:paraId="26290C6A"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3</w:t>
            </w:r>
          </w:p>
        </w:tc>
        <w:tc>
          <w:tcPr>
            <w:tcW w:w="861" w:type="pct"/>
            <w:tcBorders>
              <w:top w:val="nil"/>
              <w:left w:val="nil"/>
              <w:bottom w:val="single" w:sz="4" w:space="0" w:color="auto"/>
              <w:right w:val="single" w:sz="4" w:space="0" w:color="auto"/>
            </w:tcBorders>
            <w:shd w:val="clear" w:color="auto" w:fill="auto"/>
            <w:vAlign w:val="center"/>
            <w:hideMark/>
          </w:tcPr>
          <w:p w14:paraId="0FCDF595"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Metering Equipment installation, programming,  maintenance and Commissioning</w:t>
            </w:r>
          </w:p>
        </w:tc>
        <w:tc>
          <w:tcPr>
            <w:tcW w:w="551" w:type="pct"/>
            <w:tcBorders>
              <w:top w:val="nil"/>
              <w:left w:val="nil"/>
              <w:bottom w:val="single" w:sz="4" w:space="0" w:color="auto"/>
              <w:right w:val="single" w:sz="4" w:space="0" w:color="auto"/>
            </w:tcBorders>
            <w:shd w:val="clear" w:color="auto" w:fill="auto"/>
            <w:noWrap/>
            <w:vAlign w:val="center"/>
            <w:hideMark/>
          </w:tcPr>
          <w:p w14:paraId="6B531C02"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CVA</w:t>
            </w:r>
          </w:p>
        </w:tc>
        <w:tc>
          <w:tcPr>
            <w:tcW w:w="412" w:type="pct"/>
            <w:tcBorders>
              <w:top w:val="nil"/>
              <w:left w:val="nil"/>
              <w:bottom w:val="single" w:sz="4" w:space="0" w:color="auto"/>
              <w:right w:val="single" w:sz="4" w:space="0" w:color="auto"/>
            </w:tcBorders>
            <w:shd w:val="clear" w:color="auto" w:fill="auto"/>
            <w:noWrap/>
            <w:vAlign w:val="center"/>
            <w:hideMark/>
          </w:tcPr>
          <w:p w14:paraId="6E66727C"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£1m</w:t>
            </w:r>
          </w:p>
        </w:tc>
        <w:tc>
          <w:tcPr>
            <w:tcW w:w="533" w:type="pct"/>
            <w:tcBorders>
              <w:top w:val="nil"/>
              <w:left w:val="nil"/>
              <w:bottom w:val="single" w:sz="4" w:space="0" w:color="auto"/>
              <w:right w:val="single" w:sz="4" w:space="0" w:color="auto"/>
            </w:tcBorders>
            <w:shd w:val="clear" w:color="000000" w:fill="00B050"/>
            <w:noWrap/>
            <w:vAlign w:val="center"/>
            <w:hideMark/>
          </w:tcPr>
          <w:p w14:paraId="6B42DF54"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£19.4m</w:t>
            </w:r>
          </w:p>
        </w:tc>
      </w:tr>
      <w:tr w:rsidR="008A6A36" w:rsidRPr="00FF0F16" w14:paraId="114E9C01" w14:textId="77777777" w:rsidTr="008A6A36">
        <w:trPr>
          <w:trHeight w:val="510"/>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3377E0A6"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4</w:t>
            </w:r>
          </w:p>
        </w:tc>
        <w:tc>
          <w:tcPr>
            <w:tcW w:w="757" w:type="pct"/>
            <w:tcBorders>
              <w:top w:val="nil"/>
              <w:left w:val="nil"/>
              <w:bottom w:val="single" w:sz="4" w:space="0" w:color="auto"/>
              <w:right w:val="single" w:sz="4" w:space="0" w:color="auto"/>
            </w:tcBorders>
            <w:shd w:val="clear" w:color="auto" w:fill="auto"/>
            <w:vAlign w:val="center"/>
            <w:hideMark/>
          </w:tcPr>
          <w:p w14:paraId="18F20B50"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Fault resolution</w:t>
            </w:r>
          </w:p>
        </w:tc>
        <w:tc>
          <w:tcPr>
            <w:tcW w:w="481" w:type="pct"/>
            <w:tcBorders>
              <w:top w:val="nil"/>
              <w:left w:val="nil"/>
              <w:bottom w:val="single" w:sz="4" w:space="0" w:color="auto"/>
              <w:right w:val="single" w:sz="4" w:space="0" w:color="auto"/>
            </w:tcBorders>
            <w:shd w:val="clear" w:color="auto" w:fill="auto"/>
            <w:noWrap/>
            <w:vAlign w:val="center"/>
            <w:hideMark/>
          </w:tcPr>
          <w:p w14:paraId="18A8A8B9"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SVA</w:t>
            </w:r>
          </w:p>
        </w:tc>
        <w:tc>
          <w:tcPr>
            <w:tcW w:w="413" w:type="pct"/>
            <w:tcBorders>
              <w:top w:val="nil"/>
              <w:left w:val="nil"/>
              <w:bottom w:val="single" w:sz="4" w:space="0" w:color="auto"/>
              <w:right w:val="single" w:sz="4" w:space="0" w:color="auto"/>
            </w:tcBorders>
            <w:shd w:val="clear" w:color="auto" w:fill="auto"/>
            <w:noWrap/>
            <w:vAlign w:val="center"/>
            <w:hideMark/>
          </w:tcPr>
          <w:p w14:paraId="195D7E93"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£29.8m</w:t>
            </w:r>
          </w:p>
        </w:tc>
        <w:tc>
          <w:tcPr>
            <w:tcW w:w="605" w:type="pct"/>
            <w:tcBorders>
              <w:top w:val="nil"/>
              <w:left w:val="nil"/>
              <w:bottom w:val="single" w:sz="4" w:space="0" w:color="auto"/>
              <w:right w:val="single" w:sz="4" w:space="0" w:color="auto"/>
            </w:tcBorders>
            <w:shd w:val="clear" w:color="000000" w:fill="00B050"/>
            <w:noWrap/>
            <w:vAlign w:val="center"/>
            <w:hideMark/>
          </w:tcPr>
          <w:p w14:paraId="32CD9E2D"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£5.9m</w:t>
            </w:r>
          </w:p>
        </w:tc>
        <w:tc>
          <w:tcPr>
            <w:tcW w:w="118" w:type="pct"/>
            <w:tcBorders>
              <w:top w:val="nil"/>
              <w:left w:val="nil"/>
              <w:bottom w:val="nil"/>
              <w:right w:val="single" w:sz="4" w:space="0" w:color="auto"/>
            </w:tcBorders>
            <w:shd w:val="clear" w:color="000000" w:fill="FFFFFF"/>
            <w:noWrap/>
            <w:vAlign w:val="center"/>
            <w:hideMark/>
          </w:tcPr>
          <w:p w14:paraId="1539F6D9"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 </w:t>
            </w:r>
          </w:p>
        </w:tc>
        <w:tc>
          <w:tcPr>
            <w:tcW w:w="135" w:type="pct"/>
            <w:tcBorders>
              <w:top w:val="nil"/>
              <w:left w:val="nil"/>
              <w:bottom w:val="single" w:sz="4" w:space="0" w:color="auto"/>
              <w:right w:val="single" w:sz="4" w:space="0" w:color="auto"/>
            </w:tcBorders>
            <w:shd w:val="clear" w:color="auto" w:fill="auto"/>
            <w:noWrap/>
            <w:vAlign w:val="center"/>
            <w:hideMark/>
          </w:tcPr>
          <w:p w14:paraId="6BBF95C8"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4</w:t>
            </w:r>
          </w:p>
        </w:tc>
        <w:tc>
          <w:tcPr>
            <w:tcW w:w="861" w:type="pct"/>
            <w:tcBorders>
              <w:top w:val="nil"/>
              <w:left w:val="nil"/>
              <w:bottom w:val="single" w:sz="4" w:space="0" w:color="auto"/>
              <w:right w:val="single" w:sz="4" w:space="0" w:color="auto"/>
            </w:tcBorders>
            <w:shd w:val="clear" w:color="auto" w:fill="auto"/>
            <w:vAlign w:val="center"/>
            <w:hideMark/>
          </w:tcPr>
          <w:p w14:paraId="2FE20747"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Processing of Metered Data</w:t>
            </w:r>
          </w:p>
        </w:tc>
        <w:tc>
          <w:tcPr>
            <w:tcW w:w="551" w:type="pct"/>
            <w:tcBorders>
              <w:top w:val="nil"/>
              <w:left w:val="nil"/>
              <w:bottom w:val="single" w:sz="4" w:space="0" w:color="auto"/>
              <w:right w:val="single" w:sz="4" w:space="0" w:color="auto"/>
            </w:tcBorders>
            <w:shd w:val="clear" w:color="auto" w:fill="auto"/>
            <w:noWrap/>
            <w:vAlign w:val="center"/>
            <w:hideMark/>
          </w:tcPr>
          <w:p w14:paraId="0D3DFEBF"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SVA</w:t>
            </w:r>
          </w:p>
        </w:tc>
        <w:tc>
          <w:tcPr>
            <w:tcW w:w="412" w:type="pct"/>
            <w:tcBorders>
              <w:top w:val="nil"/>
              <w:left w:val="nil"/>
              <w:bottom w:val="single" w:sz="4" w:space="0" w:color="auto"/>
              <w:right w:val="single" w:sz="4" w:space="0" w:color="auto"/>
            </w:tcBorders>
            <w:shd w:val="clear" w:color="auto" w:fill="auto"/>
            <w:noWrap/>
            <w:vAlign w:val="center"/>
            <w:hideMark/>
          </w:tcPr>
          <w:p w14:paraId="1E629199"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£5.4m</w:t>
            </w:r>
          </w:p>
        </w:tc>
        <w:tc>
          <w:tcPr>
            <w:tcW w:w="533" w:type="pct"/>
            <w:tcBorders>
              <w:top w:val="nil"/>
              <w:left w:val="nil"/>
              <w:bottom w:val="single" w:sz="4" w:space="0" w:color="auto"/>
              <w:right w:val="single" w:sz="4" w:space="0" w:color="auto"/>
            </w:tcBorders>
            <w:shd w:val="clear" w:color="000000" w:fill="00B050"/>
            <w:noWrap/>
            <w:vAlign w:val="center"/>
            <w:hideMark/>
          </w:tcPr>
          <w:p w14:paraId="46785480"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£13.6m</w:t>
            </w:r>
          </w:p>
        </w:tc>
      </w:tr>
      <w:tr w:rsidR="008A6A36" w:rsidRPr="00FF0F16" w14:paraId="5C0407D0" w14:textId="77777777" w:rsidTr="008A6A36">
        <w:trPr>
          <w:trHeight w:val="510"/>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0FC37C40"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5</w:t>
            </w:r>
          </w:p>
        </w:tc>
        <w:tc>
          <w:tcPr>
            <w:tcW w:w="757" w:type="pct"/>
            <w:tcBorders>
              <w:top w:val="nil"/>
              <w:left w:val="nil"/>
              <w:bottom w:val="single" w:sz="4" w:space="0" w:color="auto"/>
              <w:right w:val="single" w:sz="4" w:space="0" w:color="auto"/>
            </w:tcBorders>
            <w:shd w:val="clear" w:color="auto" w:fill="auto"/>
            <w:vAlign w:val="center"/>
            <w:hideMark/>
          </w:tcPr>
          <w:p w14:paraId="59826B54"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Meter Technical Details transfer and processing</w:t>
            </w:r>
          </w:p>
        </w:tc>
        <w:tc>
          <w:tcPr>
            <w:tcW w:w="481" w:type="pct"/>
            <w:tcBorders>
              <w:top w:val="nil"/>
              <w:left w:val="nil"/>
              <w:bottom w:val="single" w:sz="4" w:space="0" w:color="auto"/>
              <w:right w:val="single" w:sz="4" w:space="0" w:color="auto"/>
            </w:tcBorders>
            <w:shd w:val="clear" w:color="auto" w:fill="auto"/>
            <w:noWrap/>
            <w:vAlign w:val="center"/>
            <w:hideMark/>
          </w:tcPr>
          <w:p w14:paraId="7B5C6BAD"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SVA</w:t>
            </w:r>
          </w:p>
        </w:tc>
        <w:tc>
          <w:tcPr>
            <w:tcW w:w="413" w:type="pct"/>
            <w:tcBorders>
              <w:top w:val="nil"/>
              <w:left w:val="nil"/>
              <w:bottom w:val="single" w:sz="4" w:space="0" w:color="auto"/>
              <w:right w:val="single" w:sz="4" w:space="0" w:color="auto"/>
            </w:tcBorders>
            <w:shd w:val="clear" w:color="auto" w:fill="auto"/>
            <w:noWrap/>
            <w:vAlign w:val="center"/>
            <w:hideMark/>
          </w:tcPr>
          <w:p w14:paraId="239BB6D9"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£2.8m</w:t>
            </w:r>
          </w:p>
        </w:tc>
        <w:tc>
          <w:tcPr>
            <w:tcW w:w="605" w:type="pct"/>
            <w:tcBorders>
              <w:top w:val="nil"/>
              <w:left w:val="nil"/>
              <w:bottom w:val="single" w:sz="4" w:space="0" w:color="auto"/>
              <w:right w:val="single" w:sz="4" w:space="0" w:color="auto"/>
            </w:tcBorders>
            <w:shd w:val="clear" w:color="000000" w:fill="00B050"/>
            <w:noWrap/>
            <w:vAlign w:val="center"/>
            <w:hideMark/>
          </w:tcPr>
          <w:p w14:paraId="27C264FF"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£5.2m</w:t>
            </w:r>
          </w:p>
        </w:tc>
        <w:tc>
          <w:tcPr>
            <w:tcW w:w="118" w:type="pct"/>
            <w:tcBorders>
              <w:top w:val="nil"/>
              <w:left w:val="nil"/>
              <w:bottom w:val="nil"/>
              <w:right w:val="single" w:sz="4" w:space="0" w:color="auto"/>
            </w:tcBorders>
            <w:shd w:val="clear" w:color="000000" w:fill="FFFFFF"/>
            <w:noWrap/>
            <w:vAlign w:val="center"/>
            <w:hideMark/>
          </w:tcPr>
          <w:p w14:paraId="67A94D05"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 </w:t>
            </w:r>
          </w:p>
        </w:tc>
        <w:tc>
          <w:tcPr>
            <w:tcW w:w="135" w:type="pct"/>
            <w:tcBorders>
              <w:top w:val="nil"/>
              <w:left w:val="nil"/>
              <w:bottom w:val="single" w:sz="4" w:space="0" w:color="auto"/>
              <w:right w:val="single" w:sz="4" w:space="0" w:color="auto"/>
            </w:tcBorders>
            <w:shd w:val="clear" w:color="auto" w:fill="auto"/>
            <w:noWrap/>
            <w:vAlign w:val="center"/>
            <w:hideMark/>
          </w:tcPr>
          <w:p w14:paraId="64FCB678"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5</w:t>
            </w:r>
          </w:p>
        </w:tc>
        <w:tc>
          <w:tcPr>
            <w:tcW w:w="861" w:type="pct"/>
            <w:tcBorders>
              <w:top w:val="nil"/>
              <w:left w:val="nil"/>
              <w:bottom w:val="single" w:sz="4" w:space="0" w:color="auto"/>
              <w:right w:val="single" w:sz="4" w:space="0" w:color="auto"/>
            </w:tcBorders>
            <w:shd w:val="clear" w:color="auto" w:fill="auto"/>
            <w:vAlign w:val="center"/>
            <w:hideMark/>
          </w:tcPr>
          <w:p w14:paraId="4DF10AE3" w14:textId="77777777" w:rsidR="00FF0F16" w:rsidRPr="00FF0F16" w:rsidRDefault="00FF0F16" w:rsidP="00FF0F16">
            <w:pPr>
              <w:spacing w:after="0" w:line="240" w:lineRule="auto"/>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Notification of change to Metering Equipment</w:t>
            </w:r>
          </w:p>
        </w:tc>
        <w:tc>
          <w:tcPr>
            <w:tcW w:w="551" w:type="pct"/>
            <w:tcBorders>
              <w:top w:val="nil"/>
              <w:left w:val="nil"/>
              <w:bottom w:val="single" w:sz="4" w:space="0" w:color="auto"/>
              <w:right w:val="single" w:sz="4" w:space="0" w:color="auto"/>
            </w:tcBorders>
            <w:shd w:val="clear" w:color="auto" w:fill="auto"/>
            <w:noWrap/>
            <w:vAlign w:val="center"/>
            <w:hideMark/>
          </w:tcPr>
          <w:p w14:paraId="333B7285"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SVA</w:t>
            </w:r>
          </w:p>
        </w:tc>
        <w:tc>
          <w:tcPr>
            <w:tcW w:w="412" w:type="pct"/>
            <w:tcBorders>
              <w:top w:val="nil"/>
              <w:left w:val="nil"/>
              <w:bottom w:val="single" w:sz="4" w:space="0" w:color="auto"/>
              <w:right w:val="single" w:sz="4" w:space="0" w:color="auto"/>
            </w:tcBorders>
            <w:shd w:val="clear" w:color="auto" w:fill="auto"/>
            <w:noWrap/>
            <w:vAlign w:val="center"/>
            <w:hideMark/>
          </w:tcPr>
          <w:p w14:paraId="0AA519CF"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£2.6m</w:t>
            </w:r>
          </w:p>
        </w:tc>
        <w:tc>
          <w:tcPr>
            <w:tcW w:w="533" w:type="pct"/>
            <w:tcBorders>
              <w:top w:val="nil"/>
              <w:left w:val="nil"/>
              <w:bottom w:val="single" w:sz="4" w:space="0" w:color="auto"/>
              <w:right w:val="single" w:sz="4" w:space="0" w:color="auto"/>
            </w:tcBorders>
            <w:shd w:val="clear" w:color="000000" w:fill="00B050"/>
            <w:noWrap/>
            <w:vAlign w:val="center"/>
            <w:hideMark/>
          </w:tcPr>
          <w:p w14:paraId="7ADBC43B" w14:textId="77777777" w:rsidR="00FF0F16" w:rsidRPr="00FF0F16" w:rsidRDefault="00FF0F16" w:rsidP="00FF0F16">
            <w:pPr>
              <w:spacing w:after="0" w:line="240" w:lineRule="auto"/>
              <w:jc w:val="center"/>
              <w:rPr>
                <w:rFonts w:asciiTheme="minorHAnsi" w:hAnsiTheme="minorHAnsi" w:cstheme="minorHAnsi"/>
                <w:color w:val="000000"/>
                <w:sz w:val="16"/>
                <w:szCs w:val="22"/>
                <w:lang w:eastAsia="en-GB"/>
              </w:rPr>
            </w:pPr>
            <w:r w:rsidRPr="00FF0F16">
              <w:rPr>
                <w:rFonts w:asciiTheme="minorHAnsi" w:hAnsiTheme="minorHAnsi" w:cstheme="minorHAnsi"/>
                <w:color w:val="000000"/>
                <w:sz w:val="16"/>
                <w:szCs w:val="22"/>
                <w:lang w:eastAsia="en-GB"/>
              </w:rPr>
              <w:t>£12.9m</w:t>
            </w:r>
          </w:p>
        </w:tc>
      </w:tr>
    </w:tbl>
    <w:p w14:paraId="21ACA47C" w14:textId="77777777" w:rsidR="008D445A" w:rsidRDefault="008D445A" w:rsidP="009456F1">
      <w:pPr>
        <w:pStyle w:val="BodyText"/>
      </w:pPr>
    </w:p>
    <w:p w14:paraId="772EEE6D" w14:textId="77777777" w:rsidR="00684B75" w:rsidRPr="008A6A36" w:rsidRDefault="00684B75" w:rsidP="00E901D4">
      <w:pPr>
        <w:pStyle w:val="Boldheading"/>
        <w:rPr>
          <w:rFonts w:asciiTheme="minorHAnsi" w:hAnsiTheme="minorHAnsi" w:cstheme="minorHAnsi"/>
        </w:rPr>
      </w:pPr>
      <w:r>
        <w:t>Top 5 Increases in Risk Impact and Volatility (Following re-assessment of Risk)</w:t>
      </w:r>
    </w:p>
    <w:tbl>
      <w:tblPr>
        <w:tblW w:w="0" w:type="auto"/>
        <w:tblLook w:val="04A0" w:firstRow="1" w:lastRow="0" w:firstColumn="1" w:lastColumn="0" w:noHBand="0" w:noVBand="1"/>
      </w:tblPr>
      <w:tblGrid>
        <w:gridCol w:w="304"/>
        <w:gridCol w:w="1509"/>
        <w:gridCol w:w="952"/>
        <w:gridCol w:w="992"/>
        <w:gridCol w:w="1137"/>
        <w:gridCol w:w="266"/>
        <w:gridCol w:w="304"/>
        <w:gridCol w:w="1659"/>
        <w:gridCol w:w="952"/>
        <w:gridCol w:w="992"/>
        <w:gridCol w:w="1241"/>
      </w:tblGrid>
      <w:tr w:rsidR="00E278C0" w:rsidRPr="008A6A36" w14:paraId="2B11EE59" w14:textId="77777777" w:rsidTr="008A6A3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DD371"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 </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1C257C08" w14:textId="77777777" w:rsidR="00684B75" w:rsidRPr="00684B75" w:rsidRDefault="00684B75" w:rsidP="00684B75">
            <w:pPr>
              <w:spacing w:after="0" w:line="240" w:lineRule="auto"/>
              <w:rPr>
                <w:rFonts w:asciiTheme="minorHAnsi" w:hAnsiTheme="minorHAnsi" w:cstheme="minorHAnsi"/>
                <w:b/>
                <w:bCs/>
                <w:color w:val="000000"/>
                <w:sz w:val="16"/>
                <w:szCs w:val="18"/>
                <w:lang w:eastAsia="en-GB"/>
              </w:rPr>
            </w:pPr>
            <w:r w:rsidRPr="00684B75">
              <w:rPr>
                <w:rFonts w:asciiTheme="minorHAnsi" w:hAnsiTheme="minorHAnsi" w:cstheme="minorHAnsi"/>
                <w:b/>
                <w:bCs/>
                <w:color w:val="000000"/>
                <w:sz w:val="16"/>
                <w:szCs w:val="18"/>
                <w:lang w:eastAsia="en-GB"/>
              </w:rPr>
              <w:t>Increase in Risk Impact</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6513FA8C" w14:textId="77777777" w:rsidR="00684B75" w:rsidRPr="00684B75" w:rsidRDefault="00684B75" w:rsidP="00684B75">
            <w:pPr>
              <w:spacing w:after="0" w:line="240" w:lineRule="auto"/>
              <w:jc w:val="center"/>
              <w:rPr>
                <w:rFonts w:asciiTheme="minorHAnsi" w:hAnsiTheme="minorHAnsi" w:cstheme="minorHAnsi"/>
                <w:b/>
                <w:bCs/>
                <w:color w:val="000000"/>
                <w:sz w:val="16"/>
                <w:szCs w:val="18"/>
                <w:lang w:eastAsia="en-GB"/>
              </w:rPr>
            </w:pPr>
            <w:r w:rsidRPr="00684B75">
              <w:rPr>
                <w:rFonts w:asciiTheme="minorHAnsi" w:hAnsiTheme="minorHAnsi" w:cstheme="minorHAnsi"/>
                <w:b/>
                <w:bCs/>
                <w:color w:val="000000"/>
                <w:sz w:val="16"/>
                <w:szCs w:val="18"/>
                <w:lang w:eastAsia="en-GB"/>
              </w:rPr>
              <w:t>SVA/CVA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7FBD2D" w14:textId="77777777" w:rsidR="00684B75" w:rsidRPr="00684B75" w:rsidRDefault="00684B75" w:rsidP="00684B75">
            <w:pPr>
              <w:spacing w:after="0" w:line="240" w:lineRule="auto"/>
              <w:jc w:val="center"/>
              <w:rPr>
                <w:rFonts w:asciiTheme="minorHAnsi" w:hAnsiTheme="minorHAnsi" w:cstheme="minorHAnsi"/>
                <w:b/>
                <w:bCs/>
                <w:color w:val="000000"/>
                <w:sz w:val="16"/>
                <w:szCs w:val="18"/>
                <w:lang w:eastAsia="en-GB"/>
              </w:rPr>
            </w:pPr>
            <w:r w:rsidRPr="008A6A36">
              <w:rPr>
                <w:rFonts w:asciiTheme="minorHAnsi" w:hAnsiTheme="minorHAnsi" w:cstheme="minorHAnsi"/>
                <w:b/>
                <w:bCs/>
                <w:color w:val="000000"/>
                <w:sz w:val="16"/>
                <w:szCs w:val="18"/>
                <w:lang w:eastAsia="en-GB"/>
              </w:rPr>
              <w:t>Risk Impact</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21894BE7" w14:textId="77777777" w:rsidR="00684B75" w:rsidRPr="00684B75" w:rsidRDefault="00684B75" w:rsidP="00684B75">
            <w:pPr>
              <w:spacing w:after="0" w:line="240" w:lineRule="auto"/>
              <w:jc w:val="center"/>
              <w:rPr>
                <w:rFonts w:asciiTheme="minorHAnsi" w:hAnsiTheme="minorHAnsi" w:cstheme="minorHAnsi"/>
                <w:b/>
                <w:bCs/>
                <w:color w:val="000000"/>
                <w:sz w:val="16"/>
                <w:szCs w:val="18"/>
                <w:lang w:eastAsia="en-GB"/>
              </w:rPr>
            </w:pPr>
            <w:r w:rsidRPr="00684B75">
              <w:rPr>
                <w:rFonts w:asciiTheme="minorHAnsi" w:hAnsiTheme="minorHAnsi" w:cstheme="minorHAnsi"/>
                <w:b/>
                <w:bCs/>
                <w:color w:val="000000"/>
                <w:sz w:val="16"/>
                <w:szCs w:val="18"/>
                <w:lang w:eastAsia="en-GB"/>
              </w:rPr>
              <w:t>Impact Change (+)</w:t>
            </w:r>
          </w:p>
        </w:tc>
        <w:tc>
          <w:tcPr>
            <w:tcW w:w="0" w:type="auto"/>
            <w:tcBorders>
              <w:top w:val="nil"/>
              <w:left w:val="nil"/>
              <w:bottom w:val="nil"/>
              <w:right w:val="single" w:sz="4" w:space="0" w:color="auto"/>
            </w:tcBorders>
            <w:shd w:val="clear" w:color="000000" w:fill="FFFFFF"/>
            <w:noWrap/>
            <w:vAlign w:val="center"/>
            <w:hideMark/>
          </w:tcPr>
          <w:p w14:paraId="2B31AD9E" w14:textId="77777777" w:rsidR="00684B75" w:rsidRPr="00684B75" w:rsidRDefault="00684B75" w:rsidP="00684B75">
            <w:pPr>
              <w:spacing w:after="0" w:line="240" w:lineRule="auto"/>
              <w:rPr>
                <w:rFonts w:asciiTheme="minorHAnsi" w:hAnsiTheme="minorHAnsi" w:cstheme="minorHAnsi"/>
                <w:b/>
                <w:bCs/>
                <w:color w:val="000000"/>
                <w:sz w:val="16"/>
                <w:szCs w:val="18"/>
                <w:lang w:eastAsia="en-GB"/>
              </w:rPr>
            </w:pPr>
            <w:r w:rsidRPr="00684B75">
              <w:rPr>
                <w:rFonts w:asciiTheme="minorHAnsi" w:hAnsiTheme="minorHAnsi" w:cstheme="minorHAnsi"/>
                <w:b/>
                <w:bCs/>
                <w:color w:val="000000"/>
                <w:sz w:val="16"/>
                <w:szCs w:val="18"/>
                <w:lang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DE51ED"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AF9CE89" w14:textId="77777777" w:rsidR="00684B75" w:rsidRPr="00684B75" w:rsidRDefault="00684B75" w:rsidP="00684B75">
            <w:pPr>
              <w:spacing w:after="0" w:line="240" w:lineRule="auto"/>
              <w:rPr>
                <w:rFonts w:asciiTheme="minorHAnsi" w:hAnsiTheme="minorHAnsi" w:cstheme="minorHAnsi"/>
                <w:b/>
                <w:bCs/>
                <w:color w:val="000000"/>
                <w:sz w:val="16"/>
                <w:szCs w:val="18"/>
                <w:lang w:eastAsia="en-GB"/>
              </w:rPr>
            </w:pPr>
            <w:r w:rsidRPr="00684B75">
              <w:rPr>
                <w:rFonts w:asciiTheme="minorHAnsi" w:hAnsiTheme="minorHAnsi" w:cstheme="minorHAnsi"/>
                <w:b/>
                <w:bCs/>
                <w:color w:val="000000"/>
                <w:sz w:val="16"/>
                <w:szCs w:val="18"/>
                <w:lang w:eastAsia="en-GB"/>
              </w:rPr>
              <w:t>Increase in Risk Volatility</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2C7524A7" w14:textId="77777777" w:rsidR="00684B75" w:rsidRPr="00684B75" w:rsidRDefault="00684B75" w:rsidP="00684B75">
            <w:pPr>
              <w:spacing w:after="0" w:line="240" w:lineRule="auto"/>
              <w:jc w:val="center"/>
              <w:rPr>
                <w:rFonts w:asciiTheme="minorHAnsi" w:hAnsiTheme="minorHAnsi" w:cstheme="minorHAnsi"/>
                <w:b/>
                <w:bCs/>
                <w:color w:val="000000"/>
                <w:sz w:val="16"/>
                <w:szCs w:val="18"/>
                <w:lang w:eastAsia="en-GB"/>
              </w:rPr>
            </w:pPr>
            <w:r w:rsidRPr="00684B75">
              <w:rPr>
                <w:rFonts w:asciiTheme="minorHAnsi" w:hAnsiTheme="minorHAnsi" w:cstheme="minorHAnsi"/>
                <w:b/>
                <w:bCs/>
                <w:color w:val="000000"/>
                <w:sz w:val="16"/>
                <w:szCs w:val="18"/>
                <w:lang w:eastAsia="en-GB"/>
              </w:rPr>
              <w:t>SVA/CVA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50BEE11" w14:textId="77777777" w:rsidR="00684B75" w:rsidRPr="00684B75" w:rsidRDefault="00684B75" w:rsidP="00684B75">
            <w:pPr>
              <w:spacing w:after="0" w:line="240" w:lineRule="auto"/>
              <w:jc w:val="center"/>
              <w:rPr>
                <w:rFonts w:asciiTheme="minorHAnsi" w:hAnsiTheme="minorHAnsi" w:cstheme="minorHAnsi"/>
                <w:b/>
                <w:bCs/>
                <w:color w:val="000000"/>
                <w:sz w:val="16"/>
                <w:szCs w:val="18"/>
                <w:lang w:eastAsia="en-GB"/>
              </w:rPr>
            </w:pPr>
            <w:r w:rsidRPr="008A6A36">
              <w:rPr>
                <w:rFonts w:asciiTheme="minorHAnsi" w:hAnsiTheme="minorHAnsi" w:cstheme="minorHAnsi"/>
                <w:b/>
                <w:bCs/>
                <w:color w:val="000000"/>
                <w:sz w:val="16"/>
                <w:szCs w:val="18"/>
                <w:lang w:eastAsia="en-GB"/>
              </w:rPr>
              <w:t>Risk Impact</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55B8BC05" w14:textId="77777777" w:rsidR="00684B75" w:rsidRPr="00684B75" w:rsidRDefault="00684B75" w:rsidP="00684B75">
            <w:pPr>
              <w:spacing w:after="0" w:line="240" w:lineRule="auto"/>
              <w:jc w:val="center"/>
              <w:rPr>
                <w:rFonts w:asciiTheme="minorHAnsi" w:hAnsiTheme="minorHAnsi" w:cstheme="minorHAnsi"/>
                <w:b/>
                <w:bCs/>
                <w:color w:val="000000"/>
                <w:sz w:val="16"/>
                <w:szCs w:val="18"/>
                <w:lang w:eastAsia="en-GB"/>
              </w:rPr>
            </w:pPr>
            <w:r w:rsidRPr="00684B75">
              <w:rPr>
                <w:rFonts w:asciiTheme="minorHAnsi" w:hAnsiTheme="minorHAnsi" w:cstheme="minorHAnsi"/>
                <w:b/>
                <w:bCs/>
                <w:color w:val="000000"/>
                <w:sz w:val="16"/>
                <w:szCs w:val="18"/>
                <w:lang w:eastAsia="en-GB"/>
              </w:rPr>
              <w:t>Volatility Change (+)</w:t>
            </w:r>
          </w:p>
        </w:tc>
      </w:tr>
      <w:tr w:rsidR="00E278C0" w:rsidRPr="008A6A36" w14:paraId="042A2E76" w14:textId="77777777" w:rsidTr="008A6A3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F1A0B3"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1</w:t>
            </w:r>
          </w:p>
        </w:tc>
        <w:tc>
          <w:tcPr>
            <w:tcW w:w="1534" w:type="dxa"/>
            <w:tcBorders>
              <w:top w:val="nil"/>
              <w:left w:val="nil"/>
              <w:bottom w:val="single" w:sz="4" w:space="0" w:color="auto"/>
              <w:right w:val="single" w:sz="4" w:space="0" w:color="auto"/>
            </w:tcBorders>
            <w:shd w:val="clear" w:color="auto" w:fill="auto"/>
            <w:vAlign w:val="center"/>
            <w:hideMark/>
          </w:tcPr>
          <w:p w14:paraId="75AEE118"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Retrieval and processing of Metered Data</w:t>
            </w:r>
          </w:p>
        </w:tc>
        <w:tc>
          <w:tcPr>
            <w:tcW w:w="886" w:type="dxa"/>
            <w:tcBorders>
              <w:top w:val="nil"/>
              <w:left w:val="nil"/>
              <w:bottom w:val="single" w:sz="4" w:space="0" w:color="auto"/>
              <w:right w:val="single" w:sz="4" w:space="0" w:color="auto"/>
            </w:tcBorders>
            <w:shd w:val="clear" w:color="auto" w:fill="auto"/>
            <w:noWrap/>
            <w:vAlign w:val="center"/>
            <w:hideMark/>
          </w:tcPr>
          <w:p w14:paraId="50FE4F67"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CVA</w:t>
            </w:r>
          </w:p>
        </w:tc>
        <w:tc>
          <w:tcPr>
            <w:tcW w:w="992" w:type="dxa"/>
            <w:tcBorders>
              <w:top w:val="nil"/>
              <w:left w:val="nil"/>
              <w:bottom w:val="single" w:sz="4" w:space="0" w:color="auto"/>
              <w:right w:val="single" w:sz="4" w:space="0" w:color="auto"/>
            </w:tcBorders>
            <w:shd w:val="clear" w:color="auto" w:fill="auto"/>
            <w:noWrap/>
            <w:vAlign w:val="center"/>
            <w:hideMark/>
          </w:tcPr>
          <w:p w14:paraId="4738FBA8"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£59.3m</w:t>
            </w:r>
          </w:p>
        </w:tc>
        <w:tc>
          <w:tcPr>
            <w:tcW w:w="1137" w:type="dxa"/>
            <w:tcBorders>
              <w:top w:val="nil"/>
              <w:left w:val="nil"/>
              <w:bottom w:val="single" w:sz="4" w:space="0" w:color="auto"/>
              <w:right w:val="single" w:sz="4" w:space="0" w:color="auto"/>
            </w:tcBorders>
            <w:shd w:val="clear" w:color="000000" w:fill="FF0000"/>
            <w:noWrap/>
            <w:vAlign w:val="center"/>
            <w:hideMark/>
          </w:tcPr>
          <w:p w14:paraId="701B42AE"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£28.1m</w:t>
            </w:r>
          </w:p>
        </w:tc>
        <w:tc>
          <w:tcPr>
            <w:tcW w:w="0" w:type="auto"/>
            <w:tcBorders>
              <w:top w:val="nil"/>
              <w:left w:val="nil"/>
              <w:bottom w:val="nil"/>
              <w:right w:val="single" w:sz="4" w:space="0" w:color="auto"/>
            </w:tcBorders>
            <w:shd w:val="clear" w:color="000000" w:fill="FFFFFF"/>
            <w:noWrap/>
            <w:vAlign w:val="center"/>
            <w:hideMark/>
          </w:tcPr>
          <w:p w14:paraId="60DA0791"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7613758"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1</w:t>
            </w:r>
          </w:p>
        </w:tc>
        <w:tc>
          <w:tcPr>
            <w:tcW w:w="1700" w:type="dxa"/>
            <w:tcBorders>
              <w:top w:val="nil"/>
              <w:left w:val="nil"/>
              <w:bottom w:val="single" w:sz="4" w:space="0" w:color="auto"/>
              <w:right w:val="single" w:sz="4" w:space="0" w:color="auto"/>
            </w:tcBorders>
            <w:shd w:val="clear" w:color="auto" w:fill="auto"/>
            <w:vAlign w:val="center"/>
            <w:hideMark/>
          </w:tcPr>
          <w:p w14:paraId="5794F380"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Retrieval and processing of Metered Data</w:t>
            </w:r>
          </w:p>
        </w:tc>
        <w:tc>
          <w:tcPr>
            <w:tcW w:w="952" w:type="dxa"/>
            <w:tcBorders>
              <w:top w:val="nil"/>
              <w:left w:val="nil"/>
              <w:bottom w:val="single" w:sz="4" w:space="0" w:color="auto"/>
              <w:right w:val="single" w:sz="4" w:space="0" w:color="auto"/>
            </w:tcBorders>
            <w:shd w:val="clear" w:color="auto" w:fill="auto"/>
            <w:noWrap/>
            <w:vAlign w:val="center"/>
            <w:hideMark/>
          </w:tcPr>
          <w:p w14:paraId="084E48C0"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CVA</w:t>
            </w:r>
          </w:p>
        </w:tc>
        <w:tc>
          <w:tcPr>
            <w:tcW w:w="992" w:type="dxa"/>
            <w:tcBorders>
              <w:top w:val="nil"/>
              <w:left w:val="nil"/>
              <w:bottom w:val="single" w:sz="4" w:space="0" w:color="auto"/>
              <w:right w:val="single" w:sz="4" w:space="0" w:color="auto"/>
            </w:tcBorders>
            <w:shd w:val="clear" w:color="auto" w:fill="auto"/>
            <w:noWrap/>
            <w:vAlign w:val="center"/>
            <w:hideMark/>
          </w:tcPr>
          <w:p w14:paraId="3E4999A9"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£146m</w:t>
            </w:r>
          </w:p>
        </w:tc>
        <w:tc>
          <w:tcPr>
            <w:tcW w:w="1241" w:type="dxa"/>
            <w:tcBorders>
              <w:top w:val="nil"/>
              <w:left w:val="nil"/>
              <w:bottom w:val="single" w:sz="4" w:space="0" w:color="auto"/>
              <w:right w:val="single" w:sz="4" w:space="0" w:color="auto"/>
            </w:tcBorders>
            <w:shd w:val="clear" w:color="000000" w:fill="FF0000"/>
            <w:noWrap/>
            <w:vAlign w:val="center"/>
            <w:hideMark/>
          </w:tcPr>
          <w:p w14:paraId="2898ACCE"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£97m</w:t>
            </w:r>
          </w:p>
        </w:tc>
      </w:tr>
      <w:tr w:rsidR="00E278C0" w:rsidRPr="008A6A36" w14:paraId="63326A78" w14:textId="77777777" w:rsidTr="008A6A3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450D40"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2</w:t>
            </w:r>
          </w:p>
        </w:tc>
        <w:tc>
          <w:tcPr>
            <w:tcW w:w="1534" w:type="dxa"/>
            <w:tcBorders>
              <w:top w:val="nil"/>
              <w:left w:val="nil"/>
              <w:bottom w:val="single" w:sz="4" w:space="0" w:color="auto"/>
              <w:right w:val="single" w:sz="4" w:space="0" w:color="auto"/>
            </w:tcBorders>
            <w:shd w:val="clear" w:color="auto" w:fill="auto"/>
            <w:vAlign w:val="center"/>
            <w:hideMark/>
          </w:tcPr>
          <w:p w14:paraId="311A4CC8"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Fault resolution</w:t>
            </w:r>
          </w:p>
        </w:tc>
        <w:tc>
          <w:tcPr>
            <w:tcW w:w="886" w:type="dxa"/>
            <w:tcBorders>
              <w:top w:val="nil"/>
              <w:left w:val="nil"/>
              <w:bottom w:val="single" w:sz="4" w:space="0" w:color="auto"/>
              <w:right w:val="single" w:sz="4" w:space="0" w:color="auto"/>
            </w:tcBorders>
            <w:shd w:val="clear" w:color="auto" w:fill="auto"/>
            <w:noWrap/>
            <w:vAlign w:val="center"/>
            <w:hideMark/>
          </w:tcPr>
          <w:p w14:paraId="59006A26"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CVA</w:t>
            </w:r>
          </w:p>
        </w:tc>
        <w:tc>
          <w:tcPr>
            <w:tcW w:w="992" w:type="dxa"/>
            <w:tcBorders>
              <w:top w:val="nil"/>
              <w:left w:val="nil"/>
              <w:bottom w:val="single" w:sz="4" w:space="0" w:color="auto"/>
              <w:right w:val="single" w:sz="4" w:space="0" w:color="auto"/>
            </w:tcBorders>
            <w:shd w:val="clear" w:color="auto" w:fill="auto"/>
            <w:noWrap/>
            <w:vAlign w:val="center"/>
            <w:hideMark/>
          </w:tcPr>
          <w:p w14:paraId="7FF5174E"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£36.6m</w:t>
            </w:r>
          </w:p>
        </w:tc>
        <w:tc>
          <w:tcPr>
            <w:tcW w:w="1137" w:type="dxa"/>
            <w:tcBorders>
              <w:top w:val="nil"/>
              <w:left w:val="nil"/>
              <w:bottom w:val="single" w:sz="4" w:space="0" w:color="auto"/>
              <w:right w:val="single" w:sz="4" w:space="0" w:color="auto"/>
            </w:tcBorders>
            <w:shd w:val="clear" w:color="000000" w:fill="FF0000"/>
            <w:noWrap/>
            <w:vAlign w:val="center"/>
            <w:hideMark/>
          </w:tcPr>
          <w:p w14:paraId="788C13ED"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£6.4m</w:t>
            </w:r>
          </w:p>
        </w:tc>
        <w:tc>
          <w:tcPr>
            <w:tcW w:w="0" w:type="auto"/>
            <w:tcBorders>
              <w:top w:val="nil"/>
              <w:left w:val="nil"/>
              <w:bottom w:val="nil"/>
              <w:right w:val="single" w:sz="4" w:space="0" w:color="auto"/>
            </w:tcBorders>
            <w:shd w:val="clear" w:color="000000" w:fill="FFFFFF"/>
            <w:noWrap/>
            <w:vAlign w:val="center"/>
            <w:hideMark/>
          </w:tcPr>
          <w:p w14:paraId="30E57065"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D15B1EC"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2</w:t>
            </w:r>
          </w:p>
        </w:tc>
        <w:tc>
          <w:tcPr>
            <w:tcW w:w="1700" w:type="dxa"/>
            <w:tcBorders>
              <w:top w:val="nil"/>
              <w:left w:val="nil"/>
              <w:bottom w:val="single" w:sz="4" w:space="0" w:color="auto"/>
              <w:right w:val="single" w:sz="4" w:space="0" w:color="auto"/>
            </w:tcBorders>
            <w:shd w:val="clear" w:color="auto" w:fill="auto"/>
            <w:vAlign w:val="center"/>
            <w:hideMark/>
          </w:tcPr>
          <w:p w14:paraId="7457A5C4"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Metering Equipment installation, programming, maintenance and Commissioning</w:t>
            </w:r>
          </w:p>
        </w:tc>
        <w:tc>
          <w:tcPr>
            <w:tcW w:w="952" w:type="dxa"/>
            <w:tcBorders>
              <w:top w:val="nil"/>
              <w:left w:val="nil"/>
              <w:bottom w:val="single" w:sz="4" w:space="0" w:color="auto"/>
              <w:right w:val="single" w:sz="4" w:space="0" w:color="auto"/>
            </w:tcBorders>
            <w:shd w:val="clear" w:color="auto" w:fill="auto"/>
            <w:noWrap/>
            <w:vAlign w:val="center"/>
            <w:hideMark/>
          </w:tcPr>
          <w:p w14:paraId="617F33EE"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SVA</w:t>
            </w:r>
          </w:p>
        </w:tc>
        <w:tc>
          <w:tcPr>
            <w:tcW w:w="992" w:type="dxa"/>
            <w:tcBorders>
              <w:top w:val="nil"/>
              <w:left w:val="nil"/>
              <w:bottom w:val="single" w:sz="4" w:space="0" w:color="auto"/>
              <w:right w:val="single" w:sz="4" w:space="0" w:color="auto"/>
            </w:tcBorders>
            <w:shd w:val="clear" w:color="auto" w:fill="auto"/>
            <w:noWrap/>
            <w:vAlign w:val="center"/>
            <w:hideMark/>
          </w:tcPr>
          <w:p w14:paraId="67F828AB"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£132m</w:t>
            </w:r>
          </w:p>
        </w:tc>
        <w:tc>
          <w:tcPr>
            <w:tcW w:w="1241" w:type="dxa"/>
            <w:tcBorders>
              <w:top w:val="nil"/>
              <w:left w:val="nil"/>
              <w:bottom w:val="single" w:sz="4" w:space="0" w:color="auto"/>
              <w:right w:val="single" w:sz="4" w:space="0" w:color="auto"/>
            </w:tcBorders>
            <w:shd w:val="clear" w:color="000000" w:fill="FF0000"/>
            <w:noWrap/>
            <w:vAlign w:val="center"/>
            <w:hideMark/>
          </w:tcPr>
          <w:p w14:paraId="363D27F3"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£47.5m</w:t>
            </w:r>
          </w:p>
        </w:tc>
      </w:tr>
      <w:tr w:rsidR="00E278C0" w:rsidRPr="008A6A36" w14:paraId="41C475BD" w14:textId="77777777" w:rsidTr="008A6A3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2B6B97"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3</w:t>
            </w:r>
          </w:p>
        </w:tc>
        <w:tc>
          <w:tcPr>
            <w:tcW w:w="1534" w:type="dxa"/>
            <w:tcBorders>
              <w:top w:val="nil"/>
              <w:left w:val="nil"/>
              <w:bottom w:val="single" w:sz="4" w:space="0" w:color="auto"/>
              <w:right w:val="single" w:sz="4" w:space="0" w:color="auto"/>
            </w:tcBorders>
            <w:shd w:val="clear" w:color="auto" w:fill="auto"/>
            <w:vAlign w:val="center"/>
            <w:hideMark/>
          </w:tcPr>
          <w:p w14:paraId="3CCB4C35"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Registration</w:t>
            </w:r>
          </w:p>
        </w:tc>
        <w:tc>
          <w:tcPr>
            <w:tcW w:w="886" w:type="dxa"/>
            <w:tcBorders>
              <w:top w:val="nil"/>
              <w:left w:val="nil"/>
              <w:bottom w:val="single" w:sz="4" w:space="0" w:color="auto"/>
              <w:right w:val="single" w:sz="4" w:space="0" w:color="auto"/>
            </w:tcBorders>
            <w:shd w:val="clear" w:color="auto" w:fill="auto"/>
            <w:noWrap/>
            <w:vAlign w:val="center"/>
            <w:hideMark/>
          </w:tcPr>
          <w:p w14:paraId="5E376A9D"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CVA</w:t>
            </w:r>
          </w:p>
        </w:tc>
        <w:tc>
          <w:tcPr>
            <w:tcW w:w="992" w:type="dxa"/>
            <w:tcBorders>
              <w:top w:val="nil"/>
              <w:left w:val="nil"/>
              <w:bottom w:val="single" w:sz="4" w:space="0" w:color="auto"/>
              <w:right w:val="single" w:sz="4" w:space="0" w:color="auto"/>
            </w:tcBorders>
            <w:shd w:val="clear" w:color="auto" w:fill="auto"/>
            <w:noWrap/>
            <w:vAlign w:val="center"/>
            <w:hideMark/>
          </w:tcPr>
          <w:p w14:paraId="0F01EF51"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£4.2m</w:t>
            </w:r>
          </w:p>
        </w:tc>
        <w:tc>
          <w:tcPr>
            <w:tcW w:w="1137" w:type="dxa"/>
            <w:tcBorders>
              <w:top w:val="nil"/>
              <w:left w:val="nil"/>
              <w:bottom w:val="single" w:sz="4" w:space="0" w:color="auto"/>
              <w:right w:val="single" w:sz="4" w:space="0" w:color="auto"/>
            </w:tcBorders>
            <w:shd w:val="clear" w:color="000000" w:fill="FF0000"/>
            <w:noWrap/>
            <w:vAlign w:val="center"/>
            <w:hideMark/>
          </w:tcPr>
          <w:p w14:paraId="5846A794"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£3.7m</w:t>
            </w:r>
          </w:p>
        </w:tc>
        <w:tc>
          <w:tcPr>
            <w:tcW w:w="0" w:type="auto"/>
            <w:tcBorders>
              <w:top w:val="nil"/>
              <w:left w:val="nil"/>
              <w:bottom w:val="nil"/>
              <w:right w:val="single" w:sz="4" w:space="0" w:color="auto"/>
            </w:tcBorders>
            <w:shd w:val="clear" w:color="000000" w:fill="FFFFFF"/>
            <w:noWrap/>
            <w:vAlign w:val="center"/>
            <w:hideMark/>
          </w:tcPr>
          <w:p w14:paraId="2997B89A"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C91ABA3"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3</w:t>
            </w:r>
          </w:p>
        </w:tc>
        <w:tc>
          <w:tcPr>
            <w:tcW w:w="1700" w:type="dxa"/>
            <w:tcBorders>
              <w:top w:val="nil"/>
              <w:left w:val="nil"/>
              <w:bottom w:val="single" w:sz="4" w:space="0" w:color="auto"/>
              <w:right w:val="single" w:sz="4" w:space="0" w:color="auto"/>
            </w:tcBorders>
            <w:shd w:val="clear" w:color="auto" w:fill="auto"/>
            <w:vAlign w:val="center"/>
            <w:hideMark/>
          </w:tcPr>
          <w:p w14:paraId="3B724ED4"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Fault resolution</w:t>
            </w:r>
          </w:p>
        </w:tc>
        <w:tc>
          <w:tcPr>
            <w:tcW w:w="952" w:type="dxa"/>
            <w:tcBorders>
              <w:top w:val="nil"/>
              <w:left w:val="nil"/>
              <w:bottom w:val="single" w:sz="4" w:space="0" w:color="auto"/>
              <w:right w:val="single" w:sz="4" w:space="0" w:color="auto"/>
            </w:tcBorders>
            <w:shd w:val="clear" w:color="auto" w:fill="auto"/>
            <w:noWrap/>
            <w:vAlign w:val="center"/>
            <w:hideMark/>
          </w:tcPr>
          <w:p w14:paraId="2B46E0DA"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CVA</w:t>
            </w:r>
          </w:p>
        </w:tc>
        <w:tc>
          <w:tcPr>
            <w:tcW w:w="992" w:type="dxa"/>
            <w:tcBorders>
              <w:top w:val="nil"/>
              <w:left w:val="nil"/>
              <w:bottom w:val="single" w:sz="4" w:space="0" w:color="auto"/>
              <w:right w:val="single" w:sz="4" w:space="0" w:color="auto"/>
            </w:tcBorders>
            <w:shd w:val="clear" w:color="auto" w:fill="auto"/>
            <w:noWrap/>
            <w:vAlign w:val="center"/>
            <w:hideMark/>
          </w:tcPr>
          <w:p w14:paraId="592CC9C2"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£93m</w:t>
            </w:r>
          </w:p>
        </w:tc>
        <w:tc>
          <w:tcPr>
            <w:tcW w:w="1241" w:type="dxa"/>
            <w:tcBorders>
              <w:top w:val="nil"/>
              <w:left w:val="nil"/>
              <w:bottom w:val="single" w:sz="4" w:space="0" w:color="auto"/>
              <w:right w:val="single" w:sz="4" w:space="0" w:color="auto"/>
            </w:tcBorders>
            <w:shd w:val="clear" w:color="000000" w:fill="FF0000"/>
            <w:noWrap/>
            <w:vAlign w:val="center"/>
            <w:hideMark/>
          </w:tcPr>
          <w:p w14:paraId="26450B05"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£36m</w:t>
            </w:r>
          </w:p>
        </w:tc>
      </w:tr>
      <w:tr w:rsidR="00E278C0" w:rsidRPr="008A6A36" w14:paraId="452585C0" w14:textId="77777777" w:rsidTr="008A6A3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E5B2F8"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4</w:t>
            </w:r>
          </w:p>
        </w:tc>
        <w:tc>
          <w:tcPr>
            <w:tcW w:w="1534" w:type="dxa"/>
            <w:tcBorders>
              <w:top w:val="nil"/>
              <w:left w:val="nil"/>
              <w:bottom w:val="single" w:sz="4" w:space="0" w:color="auto"/>
              <w:right w:val="single" w:sz="4" w:space="0" w:color="auto"/>
            </w:tcBorders>
            <w:shd w:val="clear" w:color="auto" w:fill="auto"/>
            <w:vAlign w:val="center"/>
            <w:hideMark/>
          </w:tcPr>
          <w:p w14:paraId="0F0FAFBC"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Aggregation Rules</w:t>
            </w:r>
          </w:p>
        </w:tc>
        <w:tc>
          <w:tcPr>
            <w:tcW w:w="886" w:type="dxa"/>
            <w:tcBorders>
              <w:top w:val="nil"/>
              <w:left w:val="nil"/>
              <w:bottom w:val="single" w:sz="4" w:space="0" w:color="auto"/>
              <w:right w:val="single" w:sz="4" w:space="0" w:color="auto"/>
            </w:tcBorders>
            <w:shd w:val="clear" w:color="auto" w:fill="auto"/>
            <w:noWrap/>
            <w:vAlign w:val="center"/>
            <w:hideMark/>
          </w:tcPr>
          <w:p w14:paraId="67D57864"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CVA</w:t>
            </w:r>
          </w:p>
        </w:tc>
        <w:tc>
          <w:tcPr>
            <w:tcW w:w="992" w:type="dxa"/>
            <w:tcBorders>
              <w:top w:val="nil"/>
              <w:left w:val="nil"/>
              <w:bottom w:val="single" w:sz="4" w:space="0" w:color="auto"/>
              <w:right w:val="single" w:sz="4" w:space="0" w:color="auto"/>
            </w:tcBorders>
            <w:shd w:val="clear" w:color="auto" w:fill="auto"/>
            <w:noWrap/>
            <w:vAlign w:val="center"/>
            <w:hideMark/>
          </w:tcPr>
          <w:p w14:paraId="03787DE8"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£2.3m</w:t>
            </w:r>
          </w:p>
        </w:tc>
        <w:tc>
          <w:tcPr>
            <w:tcW w:w="1137" w:type="dxa"/>
            <w:tcBorders>
              <w:top w:val="nil"/>
              <w:left w:val="nil"/>
              <w:bottom w:val="single" w:sz="4" w:space="0" w:color="auto"/>
              <w:right w:val="single" w:sz="4" w:space="0" w:color="auto"/>
            </w:tcBorders>
            <w:shd w:val="clear" w:color="000000" w:fill="FF0000"/>
            <w:noWrap/>
            <w:vAlign w:val="center"/>
            <w:hideMark/>
          </w:tcPr>
          <w:p w14:paraId="4082DE23"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£2.2m</w:t>
            </w:r>
          </w:p>
        </w:tc>
        <w:tc>
          <w:tcPr>
            <w:tcW w:w="0" w:type="auto"/>
            <w:tcBorders>
              <w:top w:val="nil"/>
              <w:left w:val="nil"/>
              <w:bottom w:val="nil"/>
              <w:right w:val="single" w:sz="4" w:space="0" w:color="auto"/>
            </w:tcBorders>
            <w:shd w:val="clear" w:color="000000" w:fill="FFFFFF"/>
            <w:noWrap/>
            <w:vAlign w:val="center"/>
            <w:hideMark/>
          </w:tcPr>
          <w:p w14:paraId="7790A8AC"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3A3C506"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4</w:t>
            </w:r>
          </w:p>
        </w:tc>
        <w:tc>
          <w:tcPr>
            <w:tcW w:w="1700" w:type="dxa"/>
            <w:tcBorders>
              <w:top w:val="nil"/>
              <w:left w:val="nil"/>
              <w:bottom w:val="single" w:sz="4" w:space="0" w:color="auto"/>
              <w:right w:val="single" w:sz="4" w:space="0" w:color="auto"/>
            </w:tcBorders>
            <w:shd w:val="clear" w:color="auto" w:fill="auto"/>
            <w:vAlign w:val="center"/>
            <w:hideMark/>
          </w:tcPr>
          <w:p w14:paraId="3CCA3871"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Registration</w:t>
            </w:r>
          </w:p>
        </w:tc>
        <w:tc>
          <w:tcPr>
            <w:tcW w:w="952" w:type="dxa"/>
            <w:tcBorders>
              <w:top w:val="nil"/>
              <w:left w:val="nil"/>
              <w:bottom w:val="single" w:sz="4" w:space="0" w:color="auto"/>
              <w:right w:val="single" w:sz="4" w:space="0" w:color="auto"/>
            </w:tcBorders>
            <w:shd w:val="clear" w:color="auto" w:fill="auto"/>
            <w:noWrap/>
            <w:vAlign w:val="center"/>
            <w:hideMark/>
          </w:tcPr>
          <w:p w14:paraId="34E428E8"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CVA</w:t>
            </w:r>
          </w:p>
        </w:tc>
        <w:tc>
          <w:tcPr>
            <w:tcW w:w="992" w:type="dxa"/>
            <w:tcBorders>
              <w:top w:val="nil"/>
              <w:left w:val="nil"/>
              <w:bottom w:val="single" w:sz="4" w:space="0" w:color="auto"/>
              <w:right w:val="single" w:sz="4" w:space="0" w:color="auto"/>
            </w:tcBorders>
            <w:shd w:val="clear" w:color="auto" w:fill="auto"/>
            <w:noWrap/>
            <w:vAlign w:val="center"/>
            <w:hideMark/>
          </w:tcPr>
          <w:p w14:paraId="30022EAA"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£14m</w:t>
            </w:r>
          </w:p>
        </w:tc>
        <w:tc>
          <w:tcPr>
            <w:tcW w:w="1241" w:type="dxa"/>
            <w:tcBorders>
              <w:top w:val="nil"/>
              <w:left w:val="nil"/>
              <w:bottom w:val="single" w:sz="4" w:space="0" w:color="auto"/>
              <w:right w:val="single" w:sz="4" w:space="0" w:color="auto"/>
            </w:tcBorders>
            <w:shd w:val="clear" w:color="000000" w:fill="FF0000"/>
            <w:noWrap/>
            <w:vAlign w:val="center"/>
            <w:hideMark/>
          </w:tcPr>
          <w:p w14:paraId="5EC4F630"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£11.5m</w:t>
            </w:r>
          </w:p>
        </w:tc>
      </w:tr>
      <w:tr w:rsidR="00E278C0" w:rsidRPr="008A6A36" w14:paraId="41971EE9" w14:textId="77777777" w:rsidTr="008A6A3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88E952"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5</w:t>
            </w:r>
          </w:p>
        </w:tc>
        <w:tc>
          <w:tcPr>
            <w:tcW w:w="1534" w:type="dxa"/>
            <w:tcBorders>
              <w:top w:val="nil"/>
              <w:left w:val="nil"/>
              <w:bottom w:val="single" w:sz="4" w:space="0" w:color="auto"/>
              <w:right w:val="single" w:sz="4" w:space="0" w:color="auto"/>
            </w:tcBorders>
            <w:shd w:val="clear" w:color="auto" w:fill="auto"/>
            <w:vAlign w:val="center"/>
            <w:hideMark/>
          </w:tcPr>
          <w:p w14:paraId="5E6BCF12"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Metering Equipment installation, programming, maintenance and Commissioning</w:t>
            </w:r>
          </w:p>
        </w:tc>
        <w:tc>
          <w:tcPr>
            <w:tcW w:w="886" w:type="dxa"/>
            <w:tcBorders>
              <w:top w:val="nil"/>
              <w:left w:val="nil"/>
              <w:bottom w:val="single" w:sz="4" w:space="0" w:color="auto"/>
              <w:right w:val="single" w:sz="4" w:space="0" w:color="auto"/>
            </w:tcBorders>
            <w:shd w:val="clear" w:color="auto" w:fill="auto"/>
            <w:noWrap/>
            <w:vAlign w:val="center"/>
            <w:hideMark/>
          </w:tcPr>
          <w:p w14:paraId="68F3CF09"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SVA</w:t>
            </w:r>
          </w:p>
        </w:tc>
        <w:tc>
          <w:tcPr>
            <w:tcW w:w="992" w:type="dxa"/>
            <w:tcBorders>
              <w:top w:val="nil"/>
              <w:left w:val="nil"/>
              <w:bottom w:val="single" w:sz="4" w:space="0" w:color="auto"/>
              <w:right w:val="single" w:sz="4" w:space="0" w:color="auto"/>
            </w:tcBorders>
            <w:shd w:val="clear" w:color="auto" w:fill="auto"/>
            <w:noWrap/>
            <w:vAlign w:val="center"/>
            <w:hideMark/>
          </w:tcPr>
          <w:p w14:paraId="6C5A82E1"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£45.1m</w:t>
            </w:r>
          </w:p>
        </w:tc>
        <w:tc>
          <w:tcPr>
            <w:tcW w:w="1137" w:type="dxa"/>
            <w:tcBorders>
              <w:top w:val="nil"/>
              <w:left w:val="nil"/>
              <w:bottom w:val="single" w:sz="4" w:space="0" w:color="auto"/>
              <w:right w:val="single" w:sz="4" w:space="0" w:color="auto"/>
            </w:tcBorders>
            <w:shd w:val="clear" w:color="000000" w:fill="FF0000"/>
            <w:noWrap/>
            <w:vAlign w:val="center"/>
            <w:hideMark/>
          </w:tcPr>
          <w:p w14:paraId="675BE02E"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£2.2m</w:t>
            </w:r>
          </w:p>
        </w:tc>
        <w:tc>
          <w:tcPr>
            <w:tcW w:w="0" w:type="auto"/>
            <w:tcBorders>
              <w:top w:val="nil"/>
              <w:left w:val="nil"/>
              <w:bottom w:val="nil"/>
              <w:right w:val="single" w:sz="4" w:space="0" w:color="auto"/>
            </w:tcBorders>
            <w:shd w:val="clear" w:color="000000" w:fill="FFFFFF"/>
            <w:noWrap/>
            <w:vAlign w:val="center"/>
            <w:hideMark/>
          </w:tcPr>
          <w:p w14:paraId="4AB43B06"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F4927BF"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5</w:t>
            </w:r>
          </w:p>
        </w:tc>
        <w:tc>
          <w:tcPr>
            <w:tcW w:w="1700" w:type="dxa"/>
            <w:tcBorders>
              <w:top w:val="nil"/>
              <w:left w:val="nil"/>
              <w:bottom w:val="single" w:sz="4" w:space="0" w:color="auto"/>
              <w:right w:val="single" w:sz="4" w:space="0" w:color="auto"/>
            </w:tcBorders>
            <w:shd w:val="clear" w:color="auto" w:fill="auto"/>
            <w:vAlign w:val="center"/>
            <w:hideMark/>
          </w:tcPr>
          <w:p w14:paraId="3486D109" w14:textId="77777777" w:rsidR="00684B75" w:rsidRPr="00684B75" w:rsidRDefault="00684B75" w:rsidP="00684B75">
            <w:pPr>
              <w:spacing w:after="0" w:line="240" w:lineRule="auto"/>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Payment default</w:t>
            </w:r>
          </w:p>
        </w:tc>
        <w:tc>
          <w:tcPr>
            <w:tcW w:w="952" w:type="dxa"/>
            <w:tcBorders>
              <w:top w:val="nil"/>
              <w:left w:val="nil"/>
              <w:bottom w:val="single" w:sz="4" w:space="0" w:color="auto"/>
              <w:right w:val="single" w:sz="4" w:space="0" w:color="auto"/>
            </w:tcBorders>
            <w:shd w:val="clear" w:color="auto" w:fill="auto"/>
            <w:noWrap/>
            <w:vAlign w:val="center"/>
            <w:hideMark/>
          </w:tcPr>
          <w:p w14:paraId="330E097B"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CVA</w:t>
            </w:r>
          </w:p>
        </w:tc>
        <w:tc>
          <w:tcPr>
            <w:tcW w:w="992" w:type="dxa"/>
            <w:tcBorders>
              <w:top w:val="nil"/>
              <w:left w:val="nil"/>
              <w:bottom w:val="single" w:sz="4" w:space="0" w:color="auto"/>
              <w:right w:val="single" w:sz="4" w:space="0" w:color="auto"/>
            </w:tcBorders>
            <w:shd w:val="clear" w:color="auto" w:fill="auto"/>
            <w:noWrap/>
            <w:vAlign w:val="center"/>
            <w:hideMark/>
          </w:tcPr>
          <w:p w14:paraId="3C8E8AE7"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£6.5m</w:t>
            </w:r>
          </w:p>
        </w:tc>
        <w:tc>
          <w:tcPr>
            <w:tcW w:w="1241" w:type="dxa"/>
            <w:tcBorders>
              <w:top w:val="nil"/>
              <w:left w:val="nil"/>
              <w:bottom w:val="single" w:sz="4" w:space="0" w:color="auto"/>
              <w:right w:val="single" w:sz="4" w:space="0" w:color="auto"/>
            </w:tcBorders>
            <w:shd w:val="clear" w:color="000000" w:fill="FF0000"/>
            <w:noWrap/>
            <w:vAlign w:val="center"/>
            <w:hideMark/>
          </w:tcPr>
          <w:p w14:paraId="437383E1" w14:textId="77777777" w:rsidR="00684B75" w:rsidRPr="00684B75" w:rsidRDefault="00684B75" w:rsidP="00684B75">
            <w:pPr>
              <w:spacing w:after="0" w:line="240" w:lineRule="auto"/>
              <w:jc w:val="center"/>
              <w:rPr>
                <w:rFonts w:asciiTheme="minorHAnsi" w:hAnsiTheme="minorHAnsi" w:cstheme="minorHAnsi"/>
                <w:color w:val="000000"/>
                <w:sz w:val="16"/>
                <w:szCs w:val="18"/>
                <w:lang w:eastAsia="en-GB"/>
              </w:rPr>
            </w:pPr>
            <w:r w:rsidRPr="00684B75">
              <w:rPr>
                <w:rFonts w:asciiTheme="minorHAnsi" w:hAnsiTheme="minorHAnsi" w:cstheme="minorHAnsi"/>
                <w:color w:val="000000"/>
                <w:sz w:val="16"/>
                <w:szCs w:val="18"/>
                <w:lang w:eastAsia="en-GB"/>
              </w:rPr>
              <w:t>£4.4m</w:t>
            </w:r>
          </w:p>
        </w:tc>
      </w:tr>
    </w:tbl>
    <w:p w14:paraId="5D89B81E" w14:textId="77777777" w:rsidR="000A4A5C" w:rsidRDefault="000A4A5C" w:rsidP="009456F1">
      <w:pPr>
        <w:pStyle w:val="BodyText"/>
      </w:pPr>
    </w:p>
    <w:p w14:paraId="0769512F" w14:textId="77777777" w:rsidR="00684B75" w:rsidRDefault="007454C2" w:rsidP="009456F1">
      <w:pPr>
        <w:pStyle w:val="BodyText"/>
      </w:pPr>
      <w:r>
        <w:rPr>
          <w:noProof/>
          <w:lang w:eastAsia="en-GB"/>
        </w:rPr>
        <w:drawing>
          <wp:inline distT="0" distB="0" distL="0" distR="0" wp14:anchorId="57F5103B" wp14:editId="6F7C9593">
            <wp:extent cx="6583680" cy="1404519"/>
            <wp:effectExtent l="0" t="19050" r="0" b="438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E5C3C55" w14:textId="77777777" w:rsidR="005318AF" w:rsidRDefault="000A4A5C" w:rsidP="005318AF">
      <w:pPr>
        <w:pStyle w:val="Heading"/>
      </w:pPr>
      <w:bookmarkStart w:id="11" w:name="_Toc35421315"/>
      <w:r>
        <w:t>A</w:t>
      </w:r>
      <w:r w:rsidR="005318AF">
        <w:t>reas for focus</w:t>
      </w:r>
      <w:r w:rsidR="006E30CA">
        <w:t xml:space="preserve"> 2020/21</w:t>
      </w:r>
      <w:bookmarkEnd w:id="11"/>
    </w:p>
    <w:p w14:paraId="638374EC" w14:textId="77777777" w:rsidR="00321543" w:rsidRDefault="00006FDE" w:rsidP="005318AF">
      <w:pPr>
        <w:pStyle w:val="BodyText"/>
      </w:pPr>
      <w:r>
        <w:t>For 2020/21</w:t>
      </w:r>
      <w:r w:rsidR="00864213">
        <w:t>, there are a number of risks</w:t>
      </w:r>
      <w:r w:rsidR="005318AF">
        <w:t xml:space="preserve"> and risk events</w:t>
      </w:r>
      <w:r w:rsidR="00864213">
        <w:t xml:space="preserve"> that the PAB is placing greater focus on</w:t>
      </w:r>
      <w:r w:rsidR="00321543">
        <w:t xml:space="preserve">, </w:t>
      </w:r>
      <w:r w:rsidR="000A4A5C">
        <w:t>they are;-</w:t>
      </w:r>
    </w:p>
    <w:p w14:paraId="45297F3D" w14:textId="77777777" w:rsidR="005318AF" w:rsidRDefault="005318AF" w:rsidP="005318AF">
      <w:pPr>
        <w:pStyle w:val="BodyText"/>
      </w:pPr>
    </w:p>
    <w:p w14:paraId="64032A83" w14:textId="77777777" w:rsidR="00321543" w:rsidRDefault="00321543" w:rsidP="00321543">
      <w:pPr>
        <w:pStyle w:val="ListBullet"/>
      </w:pPr>
      <w:r w:rsidRPr="00864213">
        <w:t>SVA Metering Equipment is installed, programmed or maintained incorrectly including where Commissioning is performed incorrectly or not at all</w:t>
      </w:r>
      <w:r>
        <w:t xml:space="preserve"> – risk no. 3</w:t>
      </w:r>
    </w:p>
    <w:p w14:paraId="6882DE3F" w14:textId="77777777" w:rsidR="00321543" w:rsidRDefault="00500DE5" w:rsidP="00321543">
      <w:pPr>
        <w:pStyle w:val="ListBullet"/>
      </w:pPr>
      <w:r>
        <w:t>A</w:t>
      </w:r>
      <w:r w:rsidR="00321543" w:rsidRPr="00321543">
        <w:t xml:space="preserve"> fault with SVA Metering Equipment is not resolved, such that metered data is recorded incorrectly or cannot be retrieved</w:t>
      </w:r>
      <w:r w:rsidR="00321543">
        <w:t xml:space="preserve"> – risk no. 5</w:t>
      </w:r>
    </w:p>
    <w:p w14:paraId="7F94FDFC" w14:textId="77777777" w:rsidR="00864213" w:rsidRDefault="00864213" w:rsidP="00864213">
      <w:pPr>
        <w:pStyle w:val="ListBullet"/>
      </w:pPr>
      <w:r>
        <w:t>SVA Metered data is not retrieved, such that the proportion of estimated data being used in Settlement contributes to performance standards not being met – risk no. 7</w:t>
      </w:r>
    </w:p>
    <w:p w14:paraId="11E0AA5B" w14:textId="77777777" w:rsidR="005C2B00" w:rsidRDefault="001216E1" w:rsidP="009456F1">
      <w:pPr>
        <w:pStyle w:val="ListBullet"/>
      </w:pPr>
      <w:r w:rsidRPr="001216E1">
        <w:t>SVA Metering System technical details are created incorrectly</w:t>
      </w:r>
      <w:r w:rsidR="005C2B00">
        <w:t xml:space="preserve"> – risk no.12</w:t>
      </w:r>
    </w:p>
    <w:p w14:paraId="72F417A2" w14:textId="77777777" w:rsidR="005318AF" w:rsidRDefault="005318AF" w:rsidP="005318AF">
      <w:pPr>
        <w:pStyle w:val="ListBullet"/>
        <w:numPr>
          <w:ilvl w:val="0"/>
          <w:numId w:val="0"/>
        </w:numPr>
        <w:ind w:left="1021"/>
      </w:pPr>
    </w:p>
    <w:p w14:paraId="193B92FF" w14:textId="77777777" w:rsidR="005C2B00" w:rsidRDefault="005C2B00" w:rsidP="00912411">
      <w:pPr>
        <w:pStyle w:val="BodyText"/>
      </w:pPr>
      <w:r>
        <w:t>In</w:t>
      </w:r>
      <w:r w:rsidR="0026153F">
        <w:t xml:space="preserve"> addition, there are 2 existing</w:t>
      </w:r>
      <w:r>
        <w:t xml:space="preserve"> Risk Events that </w:t>
      </w:r>
      <w:r w:rsidR="009B442D">
        <w:t>ELEXON</w:t>
      </w:r>
      <w:r>
        <w:t xml:space="preserve"> wishes to apply focus to, by carrying out further analysis, developing reporting and, where necessary, via the deployment of specific Performance Assurance Techniques.</w:t>
      </w:r>
    </w:p>
    <w:p w14:paraId="1D82FEE8" w14:textId="77777777" w:rsidR="005C2B00" w:rsidRDefault="005C2B00" w:rsidP="00912411">
      <w:pPr>
        <w:pStyle w:val="BodyText"/>
      </w:pPr>
      <w:r>
        <w:t xml:space="preserve">These risk events relate to market conditions which have impact on a variety of Settlement risks. </w:t>
      </w:r>
    </w:p>
    <w:p w14:paraId="4579BB96" w14:textId="77777777" w:rsidR="005318AF" w:rsidRDefault="005318AF" w:rsidP="00912411">
      <w:pPr>
        <w:pStyle w:val="BodyText"/>
      </w:pPr>
    </w:p>
    <w:p w14:paraId="6A1E30E6" w14:textId="77777777" w:rsidR="000F44E9" w:rsidRPr="000F44E9" w:rsidRDefault="000F44E9" w:rsidP="000F44E9">
      <w:pPr>
        <w:pStyle w:val="ListBullet"/>
      </w:pPr>
      <w:r>
        <w:t xml:space="preserve">Event 001 – BSC Party Agents </w:t>
      </w:r>
      <w:r w:rsidR="0026153F">
        <w:t>–</w:t>
      </w:r>
      <w:r>
        <w:t xml:space="preserve"> </w:t>
      </w:r>
      <w:r w:rsidR="009B442D">
        <w:t>ELEXON</w:t>
      </w:r>
      <w:r w:rsidR="0026153F">
        <w:t xml:space="preserve"> to carry out</w:t>
      </w:r>
      <w:r w:rsidRPr="000F44E9">
        <w:t xml:space="preserve"> analysis into the impact of C</w:t>
      </w:r>
      <w:r>
        <w:t xml:space="preserve">ustomer </w:t>
      </w:r>
      <w:r w:rsidRPr="000F44E9">
        <w:t>P</w:t>
      </w:r>
      <w:r>
        <w:t xml:space="preserve">referred </w:t>
      </w:r>
      <w:r w:rsidRPr="000F44E9">
        <w:t>A</w:t>
      </w:r>
      <w:r>
        <w:t>gents</w:t>
      </w:r>
      <w:r w:rsidRPr="000F44E9">
        <w:t xml:space="preserve"> on Settlement</w:t>
      </w:r>
      <w:r>
        <w:t>,</w:t>
      </w:r>
      <w:r w:rsidRPr="000F44E9">
        <w:t xml:space="preserve"> conducting further evidence gathering and analysis.</w:t>
      </w:r>
    </w:p>
    <w:p w14:paraId="2346C55E" w14:textId="77777777" w:rsidR="000F44E9" w:rsidRDefault="0026153F" w:rsidP="00912411">
      <w:pPr>
        <w:pStyle w:val="ListBullet"/>
      </w:pPr>
      <w:r>
        <w:t xml:space="preserve">Event 011 – Party Failure – </w:t>
      </w:r>
      <w:r w:rsidR="009B442D">
        <w:t>ELEXON</w:t>
      </w:r>
      <w:r>
        <w:t xml:space="preserve"> to carry out analysis into </w:t>
      </w:r>
      <w:r w:rsidRPr="0026153F">
        <w:t>Supplier of Last Resort (SoLR) events, and other instances where Parties or Party Agents cease operating</w:t>
      </w:r>
    </w:p>
    <w:p w14:paraId="6D0E6A82" w14:textId="77777777" w:rsidR="005318AF" w:rsidRDefault="005318AF" w:rsidP="005318AF">
      <w:pPr>
        <w:pStyle w:val="ListBullet"/>
        <w:numPr>
          <w:ilvl w:val="0"/>
          <w:numId w:val="0"/>
        </w:numPr>
        <w:ind w:left="1021"/>
      </w:pPr>
    </w:p>
    <w:p w14:paraId="5D18E261" w14:textId="77777777" w:rsidR="0026153F" w:rsidRDefault="0026153F" w:rsidP="0026153F">
      <w:pPr>
        <w:pStyle w:val="ListBullet"/>
        <w:numPr>
          <w:ilvl w:val="0"/>
          <w:numId w:val="0"/>
        </w:numPr>
      </w:pPr>
      <w:r>
        <w:t xml:space="preserve">Finally </w:t>
      </w:r>
      <w:r w:rsidR="009B442D">
        <w:t>ELEXON</w:t>
      </w:r>
      <w:r>
        <w:t xml:space="preserve"> wishes to manage all CVA Settlement Risks as a new Risk Event. This is in light of the lack of clear Performance Assurance data available within this market. </w:t>
      </w:r>
    </w:p>
    <w:p w14:paraId="1EB18579" w14:textId="77777777" w:rsidR="005C2B00" w:rsidRDefault="0026153F" w:rsidP="009456F1">
      <w:pPr>
        <w:pStyle w:val="ListBullet"/>
      </w:pPr>
      <w:r>
        <w:t>E</w:t>
      </w:r>
      <w:r w:rsidR="005318AF">
        <w:t>vent 020</w:t>
      </w:r>
      <w:r>
        <w:t xml:space="preserve"> – </w:t>
      </w:r>
      <w:r w:rsidR="005318AF">
        <w:t>CVA Market</w:t>
      </w:r>
      <w:r>
        <w:t xml:space="preserve"> – </w:t>
      </w:r>
      <w:r w:rsidR="009B442D">
        <w:t>ELEXON</w:t>
      </w:r>
      <w:r>
        <w:t xml:space="preserve"> </w:t>
      </w:r>
      <w:r w:rsidR="005318AF">
        <w:t>to create a suite of Reporting enabling the PAB to better monitor and challenge performance within the CVA Market. In addition, high impacting risks will be focussed on to reduce both risk impact and volatility.</w:t>
      </w:r>
    </w:p>
    <w:p w14:paraId="1B5A2B75" w14:textId="77777777" w:rsidR="005318AF" w:rsidRDefault="005318AF" w:rsidP="005318AF">
      <w:pPr>
        <w:pStyle w:val="ListBullet"/>
        <w:numPr>
          <w:ilvl w:val="0"/>
          <w:numId w:val="0"/>
        </w:numPr>
        <w:ind w:left="1021" w:hanging="397"/>
      </w:pPr>
    </w:p>
    <w:p w14:paraId="6D41D954" w14:textId="77777777" w:rsidR="005318AF" w:rsidRDefault="005318AF" w:rsidP="005318AF">
      <w:pPr>
        <w:pStyle w:val="Heading"/>
      </w:pPr>
      <w:bookmarkStart w:id="12" w:name="_Toc35421316"/>
      <w:r>
        <w:t>Overall forecast</w:t>
      </w:r>
      <w:bookmarkEnd w:id="12"/>
    </w:p>
    <w:p w14:paraId="123B63B4" w14:textId="440705DA" w:rsidR="000A4A5C" w:rsidRDefault="00D05016" w:rsidP="00912411">
      <w:pPr>
        <w:pStyle w:val="BodyText"/>
      </w:pPr>
      <w:r>
        <w:t>The combined forecast error</w:t>
      </w:r>
      <w:r w:rsidR="000A4A5C">
        <w:t xml:space="preserve"> that is likely </w:t>
      </w:r>
      <w:r w:rsidR="00E37590">
        <w:t xml:space="preserve">to </w:t>
      </w:r>
      <w:r w:rsidR="000A4A5C">
        <w:t>manifest in 2020/21</w:t>
      </w:r>
      <w:r>
        <w:t xml:space="preserve"> without mitigation is £</w:t>
      </w:r>
      <w:r w:rsidR="00006FDE">
        <w:t>270</w:t>
      </w:r>
      <w:r>
        <w:t>m</w:t>
      </w:r>
      <w:r w:rsidR="00006FDE">
        <w:t xml:space="preserve"> (£296m in 2019/20)</w:t>
      </w:r>
      <w:r>
        <w:t xml:space="preserve">.  </w:t>
      </w:r>
    </w:p>
    <w:p w14:paraId="0B6CB15B" w14:textId="331A359A" w:rsidR="00500DE5" w:rsidRDefault="00DC0179" w:rsidP="00912411">
      <w:pPr>
        <w:pStyle w:val="BodyText"/>
      </w:pPr>
      <w:r>
        <w:t xml:space="preserve">We anticipate approximately </w:t>
      </w:r>
      <w:r w:rsidRPr="00782CD9">
        <w:rPr>
          <w:b/>
        </w:rPr>
        <w:t>£</w:t>
      </w:r>
      <w:r w:rsidR="00DF2920">
        <w:rPr>
          <w:b/>
        </w:rPr>
        <w:t>53.8</w:t>
      </w:r>
      <w:r w:rsidRPr="00782CD9">
        <w:rPr>
          <w:b/>
        </w:rPr>
        <w:t>m</w:t>
      </w:r>
      <w:r>
        <w:t xml:space="preserve"> can be mitigated through application of assurance techniques</w:t>
      </w:r>
      <w:r w:rsidR="00292FF0">
        <w:t xml:space="preserve">, forecast cost of which is </w:t>
      </w:r>
      <w:r w:rsidR="00292FF0" w:rsidRPr="00B12566">
        <w:t xml:space="preserve">approximately </w:t>
      </w:r>
      <w:r w:rsidR="00292FF0" w:rsidRPr="00782CD9">
        <w:rPr>
          <w:b/>
        </w:rPr>
        <w:t>£</w:t>
      </w:r>
      <w:r w:rsidR="000D7476">
        <w:rPr>
          <w:b/>
        </w:rPr>
        <w:t>3.4</w:t>
      </w:r>
      <w:r w:rsidR="00292FF0" w:rsidRPr="00782CD9">
        <w:rPr>
          <w:b/>
        </w:rPr>
        <w:t>m</w:t>
      </w:r>
      <w:r w:rsidR="000D7476" w:rsidRPr="000D7476">
        <w:t>.</w:t>
      </w:r>
      <w:r>
        <w:t xml:space="preserve"> K</w:t>
      </w:r>
      <w:r w:rsidR="00500DE5">
        <w:t xml:space="preserve">ey mitigation techniques </w:t>
      </w:r>
      <w:r>
        <w:t xml:space="preserve">planned to be deployed in </w:t>
      </w:r>
      <w:r w:rsidR="00500DE5">
        <w:t>the year</w:t>
      </w:r>
      <w:r>
        <w:t xml:space="preserve"> include</w:t>
      </w:r>
      <w:r w:rsidR="00B71C8E">
        <w:t xml:space="preserve"> developing additional </w:t>
      </w:r>
      <w:r w:rsidR="00E37590">
        <w:t>p</w:t>
      </w:r>
      <w:r w:rsidR="00C922BC">
        <w:t>erformance assurance</w:t>
      </w:r>
      <w:r w:rsidR="00B71C8E">
        <w:t xml:space="preserve"> reports, Technical Assurance of Performance Assurance Party checks (targeted audits), </w:t>
      </w:r>
      <w:r w:rsidR="00292FF0">
        <w:t xml:space="preserve">and </w:t>
      </w:r>
      <w:r w:rsidR="00B71C8E">
        <w:t>provision of guidance on specific areas of BSC obligations to support parties’ compliance</w:t>
      </w:r>
      <w:r w:rsidR="00292FF0">
        <w:t>.  We will also carry out several analysis exercises to better understand various aspects of the risks, including prevalence of root causes.</w:t>
      </w:r>
    </w:p>
    <w:p w14:paraId="63DCB60A" w14:textId="77777777" w:rsidR="00912411" w:rsidRDefault="00DC0179" w:rsidP="000A4A5C">
      <w:pPr>
        <w:pStyle w:val="BodyText"/>
      </w:pPr>
      <w:r>
        <w:t xml:space="preserve">PAB will report progress towards these goals through the year, and in the </w:t>
      </w:r>
      <w:r w:rsidR="00006FDE">
        <w:t>2020/21</w:t>
      </w:r>
      <w:r w:rsidR="00FE6BF3">
        <w:t xml:space="preserve"> </w:t>
      </w:r>
      <w:r w:rsidR="000C223F">
        <w:t>Annual Performance Assurance</w:t>
      </w:r>
      <w:r>
        <w:t xml:space="preserve"> report </w:t>
      </w:r>
      <w:r w:rsidR="000C223F">
        <w:t xml:space="preserve">(APAR) </w:t>
      </w:r>
      <w:r>
        <w:t xml:space="preserve">after </w:t>
      </w:r>
      <w:r w:rsidR="00FE6BF3">
        <w:t xml:space="preserve">the </w:t>
      </w:r>
      <w:r>
        <w:t>year end.</w:t>
      </w:r>
    </w:p>
    <w:p w14:paraId="25409080" w14:textId="77777777" w:rsidR="00912411" w:rsidRDefault="00912411" w:rsidP="00912411">
      <w:pPr>
        <w:pStyle w:val="Boldheading"/>
      </w:pPr>
    </w:p>
    <w:p w14:paraId="38F4436F" w14:textId="77777777" w:rsidR="00D72ADE" w:rsidRDefault="00D72ADE" w:rsidP="00A25145">
      <w:pPr>
        <w:pStyle w:val="BodyText"/>
        <w:rPr>
          <w:color w:val="0090AB" w:themeColor="text2"/>
          <w:sz w:val="22"/>
          <w:szCs w:val="22"/>
        </w:rPr>
      </w:pPr>
      <w:bookmarkStart w:id="13" w:name="_Toc467846886"/>
      <w:r>
        <w:br w:type="page"/>
      </w:r>
    </w:p>
    <w:p w14:paraId="0DCBD75D" w14:textId="77777777" w:rsidR="00D2578D" w:rsidRDefault="00D2578D" w:rsidP="00D2578D">
      <w:pPr>
        <w:pStyle w:val="Sectionheading"/>
      </w:pPr>
      <w:bookmarkStart w:id="14" w:name="_Toc35421317"/>
      <w:r>
        <w:t>Performance Assurance Techniques</w:t>
      </w:r>
      <w:bookmarkEnd w:id="13"/>
      <w:bookmarkEnd w:id="14"/>
      <w:r>
        <w:t xml:space="preserve"> </w:t>
      </w:r>
    </w:p>
    <w:p w14:paraId="6011BCB0" w14:textId="77777777" w:rsidR="009935AC" w:rsidRDefault="00D2578D" w:rsidP="009935AC">
      <w:pPr>
        <w:pStyle w:val="FootnoteText"/>
      </w:pPr>
      <w:r>
        <w:t xml:space="preserve">There are 16 Performance Assurance Techniques (PAT) available to </w:t>
      </w:r>
      <w:r w:rsidR="00072821">
        <w:t xml:space="preserve">the PAB to </w:t>
      </w:r>
      <w:r>
        <w:t>manage Settlement Risks</w:t>
      </w:r>
      <w:r w:rsidR="00316732">
        <w:t>.  A</w:t>
      </w:r>
      <w:r w:rsidR="00D87801">
        <w:t xml:space="preserve"> summary </w:t>
      </w:r>
      <w:r w:rsidR="00316732">
        <w:t>of the PATs and cost to serve information is</w:t>
      </w:r>
      <w:r w:rsidR="00D87801">
        <w:t xml:space="preserve"> below</w:t>
      </w:r>
      <w:r w:rsidR="00316732">
        <w:t xml:space="preserve">; full details are available on the ELEXON website </w:t>
      </w:r>
      <w:hyperlink r:id="rId27" w:history="1">
        <w:r w:rsidR="00316732" w:rsidRPr="0016599A">
          <w:rPr>
            <w:rStyle w:val="Hyperlink"/>
          </w:rPr>
          <w:t>[link]</w:t>
        </w:r>
      </w:hyperlink>
      <w:r>
        <w:t>.</w:t>
      </w:r>
    </w:p>
    <w:p w14:paraId="238084BB" w14:textId="77777777" w:rsidR="00D21AE2" w:rsidRDefault="00D21AE2" w:rsidP="009935AC">
      <w:pPr>
        <w:pStyle w:val="FootnoteText"/>
      </w:pPr>
    </w:p>
    <w:tbl>
      <w:tblPr>
        <w:tblStyle w:val="LightList-Accent52"/>
        <w:tblW w:w="10173" w:type="dxa"/>
        <w:tblLayout w:type="fixed"/>
        <w:tblLook w:val="01E0" w:firstRow="1" w:lastRow="1" w:firstColumn="1" w:lastColumn="1" w:noHBand="0" w:noVBand="0"/>
      </w:tblPr>
      <w:tblGrid>
        <w:gridCol w:w="2802"/>
        <w:gridCol w:w="1275"/>
        <w:gridCol w:w="6096"/>
      </w:tblGrid>
      <w:tr w:rsidR="002B60EB" w:rsidRPr="008505FB" w14:paraId="39A8CFFF" w14:textId="77777777" w:rsidTr="003774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0090AB"/>
            <w:vAlign w:val="center"/>
          </w:tcPr>
          <w:p w14:paraId="1470B6C7" w14:textId="77777777" w:rsidR="002B60EB" w:rsidRPr="008505FB" w:rsidRDefault="002B60EB" w:rsidP="007A773C">
            <w:pPr>
              <w:keepNext/>
              <w:spacing w:before="113" w:line="240" w:lineRule="auto"/>
              <w:jc w:val="center"/>
              <w:rPr>
                <w:rFonts w:cs="Times New Roman"/>
                <w:color w:val="FFFFFF"/>
                <w:szCs w:val="24"/>
              </w:rPr>
            </w:pPr>
            <w:r w:rsidRPr="008505FB">
              <w:rPr>
                <w:rFonts w:cs="Times New Roman"/>
                <w:color w:val="FFFFFF"/>
                <w:szCs w:val="24"/>
              </w:rPr>
              <w:t>Performance Assurance Technique</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0090AB"/>
            <w:vAlign w:val="center"/>
          </w:tcPr>
          <w:p w14:paraId="4320B6A7" w14:textId="77777777" w:rsidR="002B60EB" w:rsidRPr="008505FB" w:rsidRDefault="002B60EB" w:rsidP="007A773C">
            <w:pPr>
              <w:keepNext/>
              <w:spacing w:before="113" w:line="240" w:lineRule="auto"/>
              <w:jc w:val="center"/>
              <w:rPr>
                <w:rFonts w:cs="Times New Roman"/>
                <w:color w:val="FFFFFF"/>
                <w:szCs w:val="24"/>
              </w:rPr>
            </w:pPr>
            <w:r w:rsidRPr="008505FB">
              <w:rPr>
                <w:rFonts w:cs="Times New Roman"/>
                <w:color w:val="FFFFFF"/>
                <w:szCs w:val="24"/>
              </w:rPr>
              <w:t>Technique Category</w:t>
            </w:r>
          </w:p>
        </w:tc>
        <w:tc>
          <w:tcPr>
            <w:cnfStyle w:val="000100000000" w:firstRow="0" w:lastRow="0" w:firstColumn="0" w:lastColumn="1" w:oddVBand="0" w:evenVBand="0" w:oddHBand="0" w:evenHBand="0" w:firstRowFirstColumn="0" w:firstRowLastColumn="0" w:lastRowFirstColumn="0" w:lastRowLastColumn="0"/>
            <w:tcW w:w="6096" w:type="dxa"/>
            <w:shd w:val="clear" w:color="auto" w:fill="0090AB"/>
            <w:vAlign w:val="center"/>
          </w:tcPr>
          <w:p w14:paraId="590BEDA6" w14:textId="77777777" w:rsidR="002B60EB" w:rsidRPr="008505FB" w:rsidRDefault="002B60EB" w:rsidP="007A773C">
            <w:pPr>
              <w:keepNext/>
              <w:spacing w:before="113" w:line="240" w:lineRule="auto"/>
              <w:jc w:val="center"/>
              <w:rPr>
                <w:rFonts w:cs="Times New Roman"/>
                <w:color w:val="FFFFFF"/>
                <w:szCs w:val="24"/>
              </w:rPr>
            </w:pPr>
            <w:r w:rsidRPr="008505FB">
              <w:rPr>
                <w:rFonts w:cs="Times New Roman"/>
                <w:color w:val="FFFFFF"/>
                <w:szCs w:val="24"/>
              </w:rPr>
              <w:t>Technique Type</w:t>
            </w:r>
          </w:p>
        </w:tc>
      </w:tr>
      <w:tr w:rsidR="002B60EB" w:rsidRPr="008505FB" w14:paraId="4115A030" w14:textId="77777777" w:rsidTr="001A7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C40498C" w14:textId="77777777" w:rsidR="002B60EB" w:rsidRPr="008505FB" w:rsidRDefault="002B60EB" w:rsidP="00DF08D4">
            <w:pPr>
              <w:spacing w:before="113" w:line="240" w:lineRule="auto"/>
              <w:rPr>
                <w:rFonts w:cs="Times New Roman"/>
                <w:color w:val="auto"/>
                <w:sz w:val="18"/>
                <w:szCs w:val="18"/>
              </w:rPr>
            </w:pPr>
            <w:r>
              <w:rPr>
                <w:rFonts w:cs="Times New Roman"/>
                <w:color w:val="auto"/>
                <w:sz w:val="18"/>
                <w:szCs w:val="18"/>
              </w:rPr>
              <w:t>Qualification</w:t>
            </w:r>
          </w:p>
        </w:tc>
        <w:tc>
          <w:tcPr>
            <w:cnfStyle w:val="000010000000" w:firstRow="0" w:lastRow="0" w:firstColumn="0" w:lastColumn="0" w:oddVBand="1" w:evenVBand="0" w:oddHBand="0" w:evenHBand="0" w:firstRowFirstColumn="0" w:firstRowLastColumn="0" w:lastRowFirstColumn="0" w:lastRowLastColumn="0"/>
            <w:tcW w:w="1275" w:type="dxa"/>
          </w:tcPr>
          <w:p w14:paraId="69524684" w14:textId="77777777" w:rsidR="002B60EB" w:rsidRPr="008505FB" w:rsidRDefault="002B60EB" w:rsidP="00DF08D4">
            <w:pPr>
              <w:spacing w:before="113" w:line="240" w:lineRule="auto"/>
              <w:jc w:val="center"/>
              <w:rPr>
                <w:rFonts w:cs="Times New Roman"/>
                <w:color w:val="auto"/>
                <w:sz w:val="18"/>
                <w:szCs w:val="18"/>
              </w:rPr>
            </w:pPr>
            <w:r w:rsidRPr="008505FB">
              <w:rPr>
                <w:rFonts w:cs="Times New Roman"/>
                <w:color w:val="auto"/>
                <w:sz w:val="18"/>
                <w:szCs w:val="18"/>
              </w:rPr>
              <w:t>P</w:t>
            </w:r>
            <w:r w:rsidRPr="00363AFE">
              <w:rPr>
                <w:rFonts w:cs="Times New Roman"/>
                <w:color w:val="auto"/>
                <w:sz w:val="18"/>
                <w:szCs w:val="18"/>
              </w:rPr>
              <w:t>reventative</w:t>
            </w:r>
          </w:p>
        </w:tc>
        <w:tc>
          <w:tcPr>
            <w:cnfStyle w:val="000100000000" w:firstRow="0" w:lastRow="0" w:firstColumn="0" w:lastColumn="1" w:oddVBand="0" w:evenVBand="0" w:oddHBand="0" w:evenHBand="0" w:firstRowFirstColumn="0" w:firstRowLastColumn="0" w:lastRowFirstColumn="0" w:lastRowLastColumn="0"/>
            <w:tcW w:w="6096" w:type="dxa"/>
          </w:tcPr>
          <w:p w14:paraId="14681ACF" w14:textId="77777777" w:rsidR="002B60EB" w:rsidRDefault="002B60EB" w:rsidP="00DF08D4">
            <w:pPr>
              <w:spacing w:before="113" w:line="240" w:lineRule="auto"/>
              <w:jc w:val="center"/>
              <w:rPr>
                <w:rFonts w:cs="Times New Roman"/>
                <w:b w:val="0"/>
                <w:color w:val="auto"/>
                <w:sz w:val="18"/>
                <w:szCs w:val="18"/>
              </w:rPr>
            </w:pPr>
            <w:r w:rsidRPr="008505FB">
              <w:rPr>
                <w:rFonts w:cs="Times New Roman"/>
                <w:b w:val="0"/>
                <w:color w:val="auto"/>
                <w:sz w:val="18"/>
                <w:szCs w:val="18"/>
              </w:rPr>
              <w:t>N</w:t>
            </w:r>
            <w:r w:rsidRPr="00363AFE">
              <w:rPr>
                <w:rFonts w:cs="Times New Roman"/>
                <w:b w:val="0"/>
                <w:color w:val="auto"/>
                <w:sz w:val="18"/>
                <w:szCs w:val="18"/>
              </w:rPr>
              <w:t>on-standard</w:t>
            </w:r>
          </w:p>
          <w:p w14:paraId="78D93D67" w14:textId="77777777" w:rsidR="002B60EB" w:rsidRPr="006B7C3A" w:rsidRDefault="002B60EB" w:rsidP="00DF08D4">
            <w:pPr>
              <w:spacing w:before="113" w:line="240" w:lineRule="auto"/>
              <w:jc w:val="center"/>
              <w:rPr>
                <w:rFonts w:cs="Times New Roman"/>
                <w:color w:val="auto"/>
                <w:sz w:val="18"/>
                <w:szCs w:val="18"/>
              </w:rPr>
            </w:pPr>
            <w:r w:rsidRPr="006B7C3A">
              <w:rPr>
                <w:rFonts w:cs="Times New Roman"/>
                <w:color w:val="auto"/>
                <w:sz w:val="18"/>
                <w:szCs w:val="18"/>
              </w:rPr>
              <w:t>Triggered by applicant; no flexibility in deployment</w:t>
            </w:r>
          </w:p>
        </w:tc>
      </w:tr>
      <w:tr w:rsidR="002B60EB" w:rsidRPr="008505FB" w14:paraId="02663D8A" w14:textId="77777777" w:rsidTr="001A705C">
        <w:tc>
          <w:tcPr>
            <w:cnfStyle w:val="001000000000" w:firstRow="0" w:lastRow="0" w:firstColumn="1" w:lastColumn="0" w:oddVBand="0" w:evenVBand="0" w:oddHBand="0" w:evenHBand="0" w:firstRowFirstColumn="0" w:firstRowLastColumn="0" w:lastRowFirstColumn="0" w:lastRowLastColumn="0"/>
            <w:tcW w:w="2802" w:type="dxa"/>
          </w:tcPr>
          <w:p w14:paraId="75AF305E" w14:textId="77777777" w:rsidR="002B60EB" w:rsidRPr="008505FB" w:rsidRDefault="002B60EB" w:rsidP="00DF08D4">
            <w:pPr>
              <w:spacing w:before="113" w:line="240" w:lineRule="auto"/>
              <w:rPr>
                <w:rFonts w:cs="Times New Roman"/>
                <w:color w:val="auto"/>
                <w:sz w:val="18"/>
                <w:szCs w:val="18"/>
              </w:rPr>
            </w:pPr>
            <w:r>
              <w:rPr>
                <w:rFonts w:cs="Times New Roman"/>
                <w:color w:val="auto"/>
                <w:sz w:val="18"/>
                <w:szCs w:val="18"/>
              </w:rPr>
              <w:t>Re-Qualification</w:t>
            </w:r>
          </w:p>
        </w:tc>
        <w:tc>
          <w:tcPr>
            <w:cnfStyle w:val="000010000000" w:firstRow="0" w:lastRow="0" w:firstColumn="0" w:lastColumn="0" w:oddVBand="1" w:evenVBand="0" w:oddHBand="0" w:evenHBand="0" w:firstRowFirstColumn="0" w:firstRowLastColumn="0" w:lastRowFirstColumn="0" w:lastRowLastColumn="0"/>
            <w:tcW w:w="1275" w:type="dxa"/>
          </w:tcPr>
          <w:p w14:paraId="5CDF8BAB" w14:textId="77777777" w:rsidR="002B60EB" w:rsidRPr="008505FB" w:rsidRDefault="002B60EB" w:rsidP="00DF08D4">
            <w:pPr>
              <w:spacing w:before="113" w:line="240" w:lineRule="auto"/>
              <w:jc w:val="center"/>
              <w:rPr>
                <w:rFonts w:cs="Times New Roman"/>
                <w:color w:val="auto"/>
                <w:sz w:val="18"/>
                <w:szCs w:val="18"/>
              </w:rPr>
            </w:pPr>
            <w:r w:rsidRPr="008505FB">
              <w:rPr>
                <w:rFonts w:cs="Times New Roman"/>
                <w:color w:val="auto"/>
                <w:sz w:val="18"/>
                <w:szCs w:val="18"/>
              </w:rPr>
              <w:t>P</w:t>
            </w:r>
            <w:r w:rsidRPr="00363AFE">
              <w:rPr>
                <w:rFonts w:cs="Times New Roman"/>
                <w:color w:val="auto"/>
                <w:sz w:val="18"/>
                <w:szCs w:val="18"/>
              </w:rPr>
              <w:t>reventative</w:t>
            </w:r>
          </w:p>
        </w:tc>
        <w:tc>
          <w:tcPr>
            <w:cnfStyle w:val="000100000000" w:firstRow="0" w:lastRow="0" w:firstColumn="0" w:lastColumn="1" w:oddVBand="0" w:evenVBand="0" w:oddHBand="0" w:evenHBand="0" w:firstRowFirstColumn="0" w:firstRowLastColumn="0" w:lastRowFirstColumn="0" w:lastRowLastColumn="0"/>
            <w:tcW w:w="6096" w:type="dxa"/>
          </w:tcPr>
          <w:p w14:paraId="06FE1357" w14:textId="77777777" w:rsidR="002B60EB" w:rsidRDefault="002B60EB" w:rsidP="00DF08D4">
            <w:pPr>
              <w:spacing w:before="113" w:line="240" w:lineRule="auto"/>
              <w:jc w:val="center"/>
              <w:rPr>
                <w:rFonts w:cs="Times New Roman"/>
                <w:b w:val="0"/>
                <w:color w:val="auto"/>
                <w:sz w:val="18"/>
                <w:szCs w:val="18"/>
              </w:rPr>
            </w:pPr>
            <w:r w:rsidRPr="008505FB">
              <w:rPr>
                <w:rFonts w:cs="Times New Roman"/>
                <w:b w:val="0"/>
                <w:color w:val="auto"/>
                <w:sz w:val="18"/>
                <w:szCs w:val="18"/>
              </w:rPr>
              <w:t>N</w:t>
            </w:r>
            <w:r w:rsidRPr="00363AFE">
              <w:rPr>
                <w:rFonts w:cs="Times New Roman"/>
                <w:b w:val="0"/>
                <w:color w:val="auto"/>
                <w:sz w:val="18"/>
                <w:szCs w:val="18"/>
              </w:rPr>
              <w:t>on-standard</w:t>
            </w:r>
          </w:p>
          <w:p w14:paraId="5C389984" w14:textId="77777777" w:rsidR="002B60EB" w:rsidRPr="00254CE6" w:rsidRDefault="002B60EB" w:rsidP="00254CE6">
            <w:pPr>
              <w:spacing w:before="113" w:line="240" w:lineRule="auto"/>
              <w:jc w:val="center"/>
              <w:rPr>
                <w:rFonts w:cs="Times New Roman"/>
                <w:color w:val="auto"/>
                <w:sz w:val="18"/>
                <w:szCs w:val="18"/>
              </w:rPr>
            </w:pPr>
            <w:r>
              <w:rPr>
                <w:rFonts w:cs="Times New Roman"/>
                <w:color w:val="auto"/>
                <w:sz w:val="18"/>
                <w:szCs w:val="18"/>
              </w:rPr>
              <w:t xml:space="preserve">Triggered by </w:t>
            </w:r>
            <w:r w:rsidRPr="00254CE6">
              <w:rPr>
                <w:rFonts w:cs="Times New Roman"/>
                <w:color w:val="auto"/>
                <w:sz w:val="18"/>
                <w:szCs w:val="18"/>
              </w:rPr>
              <w:t>PAB or PAP</w:t>
            </w:r>
          </w:p>
        </w:tc>
      </w:tr>
      <w:tr w:rsidR="002B60EB" w:rsidRPr="008505FB" w14:paraId="219844F4" w14:textId="77777777" w:rsidTr="001A7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7538FC8" w14:textId="77777777" w:rsidR="002B60EB" w:rsidRPr="008505FB" w:rsidRDefault="002B60EB" w:rsidP="00DF08D4">
            <w:pPr>
              <w:spacing w:before="113" w:line="240" w:lineRule="auto"/>
              <w:rPr>
                <w:rFonts w:cs="Times New Roman"/>
                <w:color w:val="auto"/>
                <w:sz w:val="18"/>
                <w:szCs w:val="18"/>
              </w:rPr>
            </w:pPr>
            <w:r w:rsidRPr="008505FB">
              <w:rPr>
                <w:rFonts w:cs="Times New Roman"/>
                <w:color w:val="auto"/>
                <w:sz w:val="18"/>
                <w:szCs w:val="18"/>
              </w:rPr>
              <w:t>Bulk Change of Agent (BCoA)</w:t>
            </w:r>
          </w:p>
        </w:tc>
        <w:tc>
          <w:tcPr>
            <w:cnfStyle w:val="000010000000" w:firstRow="0" w:lastRow="0" w:firstColumn="0" w:lastColumn="0" w:oddVBand="1" w:evenVBand="0" w:oddHBand="0" w:evenHBand="0" w:firstRowFirstColumn="0" w:firstRowLastColumn="0" w:lastRowFirstColumn="0" w:lastRowLastColumn="0"/>
            <w:tcW w:w="1275" w:type="dxa"/>
          </w:tcPr>
          <w:p w14:paraId="4BBFAB6C" w14:textId="77777777" w:rsidR="002B60EB" w:rsidRPr="008505FB" w:rsidRDefault="002B60EB" w:rsidP="00DF08D4">
            <w:pPr>
              <w:spacing w:before="113" w:line="240" w:lineRule="auto"/>
              <w:jc w:val="center"/>
              <w:rPr>
                <w:rFonts w:cs="Times New Roman"/>
                <w:color w:val="auto"/>
                <w:sz w:val="18"/>
                <w:szCs w:val="18"/>
              </w:rPr>
            </w:pPr>
            <w:r w:rsidRPr="008505FB">
              <w:rPr>
                <w:rFonts w:cs="Times New Roman"/>
                <w:color w:val="auto"/>
                <w:sz w:val="18"/>
                <w:szCs w:val="18"/>
              </w:rPr>
              <w:t>P</w:t>
            </w:r>
            <w:r w:rsidRPr="00363AFE">
              <w:rPr>
                <w:rFonts w:cs="Times New Roman"/>
                <w:color w:val="auto"/>
                <w:sz w:val="18"/>
                <w:szCs w:val="18"/>
              </w:rPr>
              <w:t>reventative</w:t>
            </w:r>
          </w:p>
        </w:tc>
        <w:tc>
          <w:tcPr>
            <w:cnfStyle w:val="000100000000" w:firstRow="0" w:lastRow="0" w:firstColumn="0" w:lastColumn="1" w:oddVBand="0" w:evenVBand="0" w:oddHBand="0" w:evenHBand="0" w:firstRowFirstColumn="0" w:firstRowLastColumn="0" w:lastRowFirstColumn="0" w:lastRowLastColumn="0"/>
            <w:tcW w:w="6096" w:type="dxa"/>
          </w:tcPr>
          <w:p w14:paraId="13202ED2" w14:textId="77777777" w:rsidR="002B60EB" w:rsidRDefault="002B60EB" w:rsidP="00DF08D4">
            <w:pPr>
              <w:spacing w:before="113" w:line="240" w:lineRule="auto"/>
              <w:jc w:val="center"/>
              <w:rPr>
                <w:rFonts w:cs="Times New Roman"/>
                <w:b w:val="0"/>
                <w:color w:val="auto"/>
                <w:sz w:val="18"/>
                <w:szCs w:val="18"/>
              </w:rPr>
            </w:pPr>
            <w:r w:rsidRPr="008505FB">
              <w:rPr>
                <w:rFonts w:cs="Times New Roman"/>
                <w:b w:val="0"/>
                <w:color w:val="auto"/>
                <w:sz w:val="18"/>
                <w:szCs w:val="18"/>
              </w:rPr>
              <w:t>N</w:t>
            </w:r>
            <w:r w:rsidRPr="00363AFE">
              <w:rPr>
                <w:rFonts w:cs="Times New Roman"/>
                <w:b w:val="0"/>
                <w:color w:val="auto"/>
                <w:sz w:val="18"/>
                <w:szCs w:val="18"/>
              </w:rPr>
              <w:t>on-standard</w:t>
            </w:r>
          </w:p>
          <w:p w14:paraId="54B0E6EF" w14:textId="77777777" w:rsidR="002B60EB" w:rsidRPr="006B7C3A" w:rsidRDefault="002B60EB" w:rsidP="00DF08D4">
            <w:pPr>
              <w:spacing w:before="113" w:line="240" w:lineRule="auto"/>
              <w:jc w:val="center"/>
              <w:rPr>
                <w:rFonts w:cs="Times New Roman"/>
                <w:color w:val="auto"/>
                <w:sz w:val="18"/>
                <w:szCs w:val="18"/>
              </w:rPr>
            </w:pPr>
            <w:r>
              <w:rPr>
                <w:rFonts w:cs="Times New Roman"/>
                <w:color w:val="auto"/>
                <w:sz w:val="18"/>
                <w:szCs w:val="18"/>
              </w:rPr>
              <w:t>Triggered by Supplier</w:t>
            </w:r>
          </w:p>
        </w:tc>
      </w:tr>
      <w:tr w:rsidR="002B60EB" w:rsidRPr="008505FB" w14:paraId="4FF41F0B" w14:textId="77777777" w:rsidTr="001A705C">
        <w:tc>
          <w:tcPr>
            <w:cnfStyle w:val="001000000000" w:firstRow="0" w:lastRow="0" w:firstColumn="1" w:lastColumn="0" w:oddVBand="0" w:evenVBand="0" w:oddHBand="0" w:evenHBand="0" w:firstRowFirstColumn="0" w:firstRowLastColumn="0" w:lastRowFirstColumn="0" w:lastRowLastColumn="0"/>
            <w:tcW w:w="2802" w:type="dxa"/>
          </w:tcPr>
          <w:p w14:paraId="699A0E38" w14:textId="77777777" w:rsidR="002B60EB" w:rsidRPr="008505FB" w:rsidRDefault="002B60EB" w:rsidP="00DF08D4">
            <w:pPr>
              <w:spacing w:before="113" w:line="240" w:lineRule="auto"/>
              <w:rPr>
                <w:rFonts w:cs="Times New Roman"/>
                <w:color w:val="auto"/>
                <w:sz w:val="18"/>
                <w:szCs w:val="18"/>
              </w:rPr>
            </w:pPr>
            <w:r w:rsidRPr="008505FB">
              <w:rPr>
                <w:rFonts w:cs="Times New Roman"/>
                <w:color w:val="auto"/>
                <w:sz w:val="18"/>
                <w:szCs w:val="18"/>
              </w:rPr>
              <w:t>Education</w:t>
            </w:r>
          </w:p>
        </w:tc>
        <w:tc>
          <w:tcPr>
            <w:cnfStyle w:val="000010000000" w:firstRow="0" w:lastRow="0" w:firstColumn="0" w:lastColumn="0" w:oddVBand="1" w:evenVBand="0" w:oddHBand="0" w:evenHBand="0" w:firstRowFirstColumn="0" w:firstRowLastColumn="0" w:lastRowFirstColumn="0" w:lastRowLastColumn="0"/>
            <w:tcW w:w="1275" w:type="dxa"/>
          </w:tcPr>
          <w:p w14:paraId="5620626B" w14:textId="77777777" w:rsidR="002B60EB" w:rsidRPr="008505FB" w:rsidRDefault="002B60EB" w:rsidP="00DF08D4">
            <w:pPr>
              <w:spacing w:before="113" w:line="240" w:lineRule="auto"/>
              <w:jc w:val="center"/>
              <w:rPr>
                <w:rFonts w:cs="Times New Roman"/>
                <w:color w:val="auto"/>
                <w:sz w:val="18"/>
                <w:szCs w:val="18"/>
              </w:rPr>
            </w:pPr>
            <w:r w:rsidRPr="008505FB">
              <w:rPr>
                <w:rFonts w:cs="Times New Roman"/>
                <w:color w:val="auto"/>
                <w:sz w:val="18"/>
                <w:szCs w:val="18"/>
              </w:rPr>
              <w:t>P</w:t>
            </w:r>
            <w:r w:rsidRPr="00363AFE">
              <w:rPr>
                <w:rFonts w:cs="Times New Roman"/>
                <w:color w:val="auto"/>
                <w:sz w:val="18"/>
                <w:szCs w:val="18"/>
              </w:rPr>
              <w:t>reventative</w:t>
            </w:r>
          </w:p>
        </w:tc>
        <w:tc>
          <w:tcPr>
            <w:cnfStyle w:val="000100000000" w:firstRow="0" w:lastRow="0" w:firstColumn="0" w:lastColumn="1" w:oddVBand="0" w:evenVBand="0" w:oddHBand="0" w:evenHBand="0" w:firstRowFirstColumn="0" w:firstRowLastColumn="0" w:lastRowFirstColumn="0" w:lastRowLastColumn="0"/>
            <w:tcW w:w="6096" w:type="dxa"/>
          </w:tcPr>
          <w:p w14:paraId="336C882D" w14:textId="77777777" w:rsidR="002B60EB" w:rsidRDefault="002B60EB" w:rsidP="00DF08D4">
            <w:pPr>
              <w:spacing w:before="113" w:line="240" w:lineRule="auto"/>
              <w:jc w:val="center"/>
              <w:rPr>
                <w:rFonts w:cs="Times New Roman"/>
                <w:b w:val="0"/>
                <w:color w:val="auto"/>
                <w:sz w:val="18"/>
                <w:szCs w:val="18"/>
              </w:rPr>
            </w:pPr>
            <w:r w:rsidRPr="008505FB">
              <w:rPr>
                <w:rFonts w:cs="Times New Roman"/>
                <w:b w:val="0"/>
                <w:color w:val="auto"/>
                <w:sz w:val="18"/>
                <w:szCs w:val="18"/>
              </w:rPr>
              <w:t>N</w:t>
            </w:r>
            <w:r w:rsidRPr="00363AFE">
              <w:rPr>
                <w:rFonts w:cs="Times New Roman"/>
                <w:b w:val="0"/>
                <w:color w:val="auto"/>
                <w:sz w:val="18"/>
                <w:szCs w:val="18"/>
              </w:rPr>
              <w:t>on-standard</w:t>
            </w:r>
          </w:p>
          <w:p w14:paraId="65B0F000" w14:textId="77777777" w:rsidR="002B60EB" w:rsidRPr="006B7C3A" w:rsidRDefault="002B60EB" w:rsidP="00DF08D4">
            <w:pPr>
              <w:spacing w:before="113" w:line="240" w:lineRule="auto"/>
              <w:jc w:val="center"/>
              <w:rPr>
                <w:rFonts w:cs="Times New Roman"/>
                <w:color w:val="auto"/>
                <w:sz w:val="18"/>
                <w:szCs w:val="18"/>
              </w:rPr>
            </w:pPr>
            <w:r>
              <w:rPr>
                <w:rFonts w:cs="Times New Roman"/>
                <w:color w:val="auto"/>
                <w:sz w:val="18"/>
                <w:szCs w:val="18"/>
              </w:rPr>
              <w:t>Fully flexible – triggered by PAB</w:t>
            </w:r>
          </w:p>
        </w:tc>
      </w:tr>
      <w:tr w:rsidR="002B60EB" w:rsidRPr="008505FB" w14:paraId="69B0EB91" w14:textId="77777777" w:rsidTr="001A7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357CA2D" w14:textId="77777777" w:rsidR="002B60EB" w:rsidRPr="008505FB" w:rsidRDefault="002B60EB" w:rsidP="00DF08D4">
            <w:pPr>
              <w:spacing w:before="113" w:line="240" w:lineRule="auto"/>
              <w:rPr>
                <w:rFonts w:cs="Times New Roman"/>
                <w:color w:val="auto"/>
                <w:sz w:val="18"/>
                <w:szCs w:val="18"/>
              </w:rPr>
            </w:pPr>
            <w:r w:rsidRPr="008505FB">
              <w:rPr>
                <w:rFonts w:cs="Times New Roman"/>
                <w:color w:val="auto"/>
                <w:sz w:val="18"/>
                <w:szCs w:val="18"/>
              </w:rPr>
              <w:t>Performance Monitoring &amp; Reporting</w:t>
            </w:r>
          </w:p>
        </w:tc>
        <w:tc>
          <w:tcPr>
            <w:cnfStyle w:val="000010000000" w:firstRow="0" w:lastRow="0" w:firstColumn="0" w:lastColumn="0" w:oddVBand="1" w:evenVBand="0" w:oddHBand="0" w:evenHBand="0" w:firstRowFirstColumn="0" w:firstRowLastColumn="0" w:lastRowFirstColumn="0" w:lastRowLastColumn="0"/>
            <w:tcW w:w="1275" w:type="dxa"/>
          </w:tcPr>
          <w:p w14:paraId="39F410BE" w14:textId="77777777" w:rsidR="002B60EB" w:rsidRPr="008505FB" w:rsidRDefault="002B60EB" w:rsidP="00DF08D4">
            <w:pPr>
              <w:spacing w:before="113" w:line="240" w:lineRule="auto"/>
              <w:jc w:val="center"/>
              <w:rPr>
                <w:rFonts w:cs="Times New Roman"/>
                <w:color w:val="auto"/>
                <w:sz w:val="18"/>
                <w:szCs w:val="18"/>
              </w:rPr>
            </w:pPr>
            <w:r w:rsidRPr="00363AFE">
              <w:rPr>
                <w:rFonts w:cs="Times New Roman"/>
                <w:color w:val="auto"/>
                <w:sz w:val="18"/>
                <w:szCs w:val="18"/>
              </w:rPr>
              <w:t>Detective</w:t>
            </w:r>
          </w:p>
        </w:tc>
        <w:tc>
          <w:tcPr>
            <w:cnfStyle w:val="000100000000" w:firstRow="0" w:lastRow="0" w:firstColumn="0" w:lastColumn="1" w:oddVBand="0" w:evenVBand="0" w:oddHBand="0" w:evenHBand="0" w:firstRowFirstColumn="0" w:firstRowLastColumn="0" w:lastRowFirstColumn="0" w:lastRowLastColumn="0"/>
            <w:tcW w:w="6096" w:type="dxa"/>
          </w:tcPr>
          <w:p w14:paraId="63330E2E" w14:textId="77777777" w:rsidR="002B60EB" w:rsidRDefault="002B60EB" w:rsidP="00DF08D4">
            <w:pPr>
              <w:spacing w:before="113" w:line="240" w:lineRule="auto"/>
              <w:jc w:val="center"/>
              <w:rPr>
                <w:rFonts w:cs="Times New Roman"/>
                <w:b w:val="0"/>
                <w:color w:val="auto"/>
                <w:sz w:val="18"/>
                <w:szCs w:val="18"/>
              </w:rPr>
            </w:pPr>
            <w:r w:rsidRPr="008505FB">
              <w:rPr>
                <w:rFonts w:cs="Times New Roman"/>
                <w:b w:val="0"/>
                <w:color w:val="auto"/>
                <w:sz w:val="18"/>
                <w:szCs w:val="18"/>
              </w:rPr>
              <w:t>M</w:t>
            </w:r>
            <w:r w:rsidRPr="00363AFE">
              <w:rPr>
                <w:rFonts w:cs="Times New Roman"/>
                <w:b w:val="0"/>
                <w:color w:val="auto"/>
                <w:sz w:val="18"/>
                <w:szCs w:val="18"/>
              </w:rPr>
              <w:t>andatory</w:t>
            </w:r>
          </w:p>
          <w:p w14:paraId="38B3EDA7" w14:textId="77777777" w:rsidR="002B60EB" w:rsidRPr="006B7C3A" w:rsidRDefault="002B60EB" w:rsidP="00DF08D4">
            <w:pPr>
              <w:spacing w:before="113" w:line="240" w:lineRule="auto"/>
              <w:jc w:val="center"/>
              <w:rPr>
                <w:rFonts w:cs="Times New Roman"/>
                <w:color w:val="auto"/>
                <w:sz w:val="18"/>
                <w:szCs w:val="18"/>
              </w:rPr>
            </w:pPr>
            <w:r>
              <w:rPr>
                <w:rFonts w:cs="Times New Roman"/>
                <w:color w:val="auto"/>
                <w:sz w:val="18"/>
                <w:szCs w:val="18"/>
              </w:rPr>
              <w:t>Applicable to all relevant parties as per the BSC</w:t>
            </w:r>
          </w:p>
        </w:tc>
      </w:tr>
      <w:tr w:rsidR="002B60EB" w:rsidRPr="008505FB" w14:paraId="2B7DCDC3" w14:textId="77777777" w:rsidTr="001A705C">
        <w:tc>
          <w:tcPr>
            <w:cnfStyle w:val="001000000000" w:firstRow="0" w:lastRow="0" w:firstColumn="1" w:lastColumn="0" w:oddVBand="0" w:evenVBand="0" w:oddHBand="0" w:evenHBand="0" w:firstRowFirstColumn="0" w:firstRowLastColumn="0" w:lastRowFirstColumn="0" w:lastRowLastColumn="0"/>
            <w:tcW w:w="2802" w:type="dxa"/>
          </w:tcPr>
          <w:p w14:paraId="434A19F4" w14:textId="77777777" w:rsidR="002B60EB" w:rsidRPr="008505FB" w:rsidRDefault="002B60EB" w:rsidP="00DF08D4">
            <w:pPr>
              <w:spacing w:before="113" w:line="240" w:lineRule="auto"/>
              <w:rPr>
                <w:rFonts w:cs="Times New Roman"/>
                <w:color w:val="auto"/>
                <w:sz w:val="18"/>
                <w:szCs w:val="18"/>
              </w:rPr>
            </w:pPr>
            <w:r w:rsidRPr="008505FB">
              <w:rPr>
                <w:rFonts w:cs="Times New Roman"/>
                <w:color w:val="auto"/>
                <w:sz w:val="18"/>
                <w:szCs w:val="18"/>
              </w:rPr>
              <w:t>Material Error Monitoring (MEM)</w:t>
            </w:r>
          </w:p>
        </w:tc>
        <w:tc>
          <w:tcPr>
            <w:cnfStyle w:val="000010000000" w:firstRow="0" w:lastRow="0" w:firstColumn="0" w:lastColumn="0" w:oddVBand="1" w:evenVBand="0" w:oddHBand="0" w:evenHBand="0" w:firstRowFirstColumn="0" w:firstRowLastColumn="0" w:lastRowFirstColumn="0" w:lastRowLastColumn="0"/>
            <w:tcW w:w="1275" w:type="dxa"/>
          </w:tcPr>
          <w:p w14:paraId="0CD27E49" w14:textId="77777777" w:rsidR="002B60EB" w:rsidRPr="008505FB" w:rsidRDefault="002B60EB" w:rsidP="00DF08D4">
            <w:pPr>
              <w:spacing w:before="113" w:line="240" w:lineRule="auto"/>
              <w:jc w:val="center"/>
              <w:rPr>
                <w:rFonts w:cs="Times New Roman"/>
                <w:color w:val="auto"/>
                <w:sz w:val="18"/>
                <w:szCs w:val="18"/>
              </w:rPr>
            </w:pPr>
            <w:r w:rsidRPr="00363AFE">
              <w:rPr>
                <w:rFonts w:cs="Times New Roman"/>
                <w:color w:val="auto"/>
                <w:sz w:val="18"/>
                <w:szCs w:val="18"/>
              </w:rPr>
              <w:t>Detective</w:t>
            </w:r>
          </w:p>
        </w:tc>
        <w:tc>
          <w:tcPr>
            <w:cnfStyle w:val="000100000000" w:firstRow="0" w:lastRow="0" w:firstColumn="0" w:lastColumn="1" w:oddVBand="0" w:evenVBand="0" w:oddHBand="0" w:evenHBand="0" w:firstRowFirstColumn="0" w:firstRowLastColumn="0" w:lastRowFirstColumn="0" w:lastRowLastColumn="0"/>
            <w:tcW w:w="6096" w:type="dxa"/>
          </w:tcPr>
          <w:p w14:paraId="0243656E" w14:textId="77777777" w:rsidR="002B60EB" w:rsidRDefault="002B60EB" w:rsidP="00DF08D4">
            <w:pPr>
              <w:spacing w:before="113" w:line="240" w:lineRule="auto"/>
              <w:jc w:val="center"/>
              <w:rPr>
                <w:rFonts w:cs="Times New Roman"/>
                <w:b w:val="0"/>
                <w:color w:val="auto"/>
                <w:sz w:val="18"/>
                <w:szCs w:val="18"/>
              </w:rPr>
            </w:pPr>
            <w:r w:rsidRPr="008505FB">
              <w:rPr>
                <w:rFonts w:cs="Times New Roman"/>
                <w:b w:val="0"/>
                <w:color w:val="auto"/>
                <w:sz w:val="18"/>
                <w:szCs w:val="18"/>
              </w:rPr>
              <w:t>S</w:t>
            </w:r>
            <w:r w:rsidRPr="00363AFE">
              <w:rPr>
                <w:rFonts w:cs="Times New Roman"/>
                <w:b w:val="0"/>
                <w:color w:val="auto"/>
                <w:sz w:val="18"/>
                <w:szCs w:val="18"/>
              </w:rPr>
              <w:t>tandard</w:t>
            </w:r>
          </w:p>
          <w:p w14:paraId="6E96D532" w14:textId="77777777" w:rsidR="002B60EB" w:rsidRPr="008505FB" w:rsidRDefault="002B60EB" w:rsidP="00DF08D4">
            <w:pPr>
              <w:spacing w:before="113" w:line="240" w:lineRule="auto"/>
              <w:jc w:val="center"/>
              <w:rPr>
                <w:rFonts w:cs="Times New Roman"/>
                <w:b w:val="0"/>
                <w:color w:val="auto"/>
                <w:sz w:val="18"/>
                <w:szCs w:val="18"/>
              </w:rPr>
            </w:pPr>
            <w:r>
              <w:rPr>
                <w:rFonts w:cs="Times New Roman"/>
                <w:color w:val="auto"/>
                <w:sz w:val="18"/>
                <w:szCs w:val="18"/>
              </w:rPr>
              <w:t>Fully flexible – triggered by PAB</w:t>
            </w:r>
          </w:p>
        </w:tc>
      </w:tr>
      <w:tr w:rsidR="002B60EB" w:rsidRPr="008505FB" w14:paraId="447479AA" w14:textId="77777777" w:rsidTr="001A7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44B804B" w14:textId="77777777" w:rsidR="002B60EB" w:rsidRPr="008505FB" w:rsidRDefault="002B60EB" w:rsidP="00DF08D4">
            <w:pPr>
              <w:spacing w:before="113" w:line="240" w:lineRule="auto"/>
              <w:rPr>
                <w:rFonts w:cs="Times New Roman"/>
                <w:color w:val="auto"/>
                <w:sz w:val="18"/>
                <w:szCs w:val="18"/>
              </w:rPr>
            </w:pPr>
            <w:r w:rsidRPr="008505FB">
              <w:rPr>
                <w:rFonts w:cs="Times New Roman"/>
                <w:color w:val="auto"/>
                <w:sz w:val="18"/>
                <w:szCs w:val="18"/>
              </w:rPr>
              <w:t>Technical Assurance of Metering Systems (TAM)</w:t>
            </w:r>
          </w:p>
        </w:tc>
        <w:tc>
          <w:tcPr>
            <w:cnfStyle w:val="000010000000" w:firstRow="0" w:lastRow="0" w:firstColumn="0" w:lastColumn="0" w:oddVBand="1" w:evenVBand="0" w:oddHBand="0" w:evenHBand="0" w:firstRowFirstColumn="0" w:firstRowLastColumn="0" w:lastRowFirstColumn="0" w:lastRowLastColumn="0"/>
            <w:tcW w:w="1275" w:type="dxa"/>
          </w:tcPr>
          <w:p w14:paraId="2F85778B" w14:textId="77777777" w:rsidR="002B60EB" w:rsidRPr="008505FB" w:rsidRDefault="002B60EB" w:rsidP="00DF08D4">
            <w:pPr>
              <w:spacing w:before="113" w:line="240" w:lineRule="auto"/>
              <w:jc w:val="center"/>
              <w:rPr>
                <w:rFonts w:cs="Times New Roman"/>
                <w:color w:val="auto"/>
                <w:sz w:val="18"/>
                <w:szCs w:val="18"/>
              </w:rPr>
            </w:pPr>
            <w:r w:rsidRPr="00363AFE">
              <w:rPr>
                <w:rFonts w:cs="Times New Roman"/>
                <w:color w:val="auto"/>
                <w:sz w:val="18"/>
                <w:szCs w:val="18"/>
              </w:rPr>
              <w:t>Detective</w:t>
            </w:r>
          </w:p>
        </w:tc>
        <w:tc>
          <w:tcPr>
            <w:cnfStyle w:val="000100000000" w:firstRow="0" w:lastRow="0" w:firstColumn="0" w:lastColumn="1" w:oddVBand="0" w:evenVBand="0" w:oddHBand="0" w:evenHBand="0" w:firstRowFirstColumn="0" w:firstRowLastColumn="0" w:lastRowFirstColumn="0" w:lastRowLastColumn="0"/>
            <w:tcW w:w="6096" w:type="dxa"/>
          </w:tcPr>
          <w:p w14:paraId="2E47CF1D" w14:textId="77777777" w:rsidR="002B60EB" w:rsidRDefault="002B60EB" w:rsidP="00DF08D4">
            <w:pPr>
              <w:spacing w:before="113" w:line="240" w:lineRule="auto"/>
              <w:jc w:val="center"/>
              <w:rPr>
                <w:rFonts w:cs="Times New Roman"/>
                <w:b w:val="0"/>
                <w:color w:val="auto"/>
                <w:sz w:val="18"/>
                <w:szCs w:val="18"/>
              </w:rPr>
            </w:pPr>
            <w:r w:rsidRPr="008505FB">
              <w:rPr>
                <w:rFonts w:cs="Times New Roman"/>
                <w:b w:val="0"/>
                <w:color w:val="auto"/>
                <w:sz w:val="18"/>
                <w:szCs w:val="18"/>
              </w:rPr>
              <w:t>S</w:t>
            </w:r>
            <w:r w:rsidRPr="00363AFE">
              <w:rPr>
                <w:rFonts w:cs="Times New Roman"/>
                <w:b w:val="0"/>
                <w:color w:val="auto"/>
                <w:sz w:val="18"/>
                <w:szCs w:val="18"/>
              </w:rPr>
              <w:t>tandard</w:t>
            </w:r>
          </w:p>
          <w:p w14:paraId="13E1472E" w14:textId="77777777" w:rsidR="002B60EB" w:rsidRPr="006B7C3A" w:rsidRDefault="002B60EB" w:rsidP="00DF08D4">
            <w:pPr>
              <w:spacing w:before="113" w:line="240" w:lineRule="auto"/>
              <w:jc w:val="center"/>
              <w:rPr>
                <w:rFonts w:cs="Times New Roman"/>
                <w:color w:val="auto"/>
                <w:sz w:val="18"/>
                <w:szCs w:val="18"/>
              </w:rPr>
            </w:pPr>
            <w:r>
              <w:rPr>
                <w:rFonts w:cs="Times New Roman"/>
                <w:color w:val="auto"/>
                <w:sz w:val="18"/>
                <w:szCs w:val="18"/>
              </w:rPr>
              <w:t>Partly flexible – PAB manages scope</w:t>
            </w:r>
          </w:p>
        </w:tc>
      </w:tr>
      <w:tr w:rsidR="002B60EB" w:rsidRPr="008505FB" w14:paraId="28697073" w14:textId="77777777" w:rsidTr="001A705C">
        <w:tc>
          <w:tcPr>
            <w:cnfStyle w:val="001000000000" w:firstRow="0" w:lastRow="0" w:firstColumn="1" w:lastColumn="0" w:oddVBand="0" w:evenVBand="0" w:oddHBand="0" w:evenHBand="0" w:firstRowFirstColumn="0" w:firstRowLastColumn="0" w:lastRowFirstColumn="0" w:lastRowLastColumn="0"/>
            <w:tcW w:w="2802" w:type="dxa"/>
          </w:tcPr>
          <w:p w14:paraId="436C5350" w14:textId="77777777" w:rsidR="002B60EB" w:rsidRPr="008505FB" w:rsidRDefault="002B60EB" w:rsidP="00DF08D4">
            <w:pPr>
              <w:spacing w:before="113" w:line="240" w:lineRule="auto"/>
              <w:rPr>
                <w:rFonts w:cs="Times New Roman"/>
                <w:color w:val="auto"/>
                <w:sz w:val="18"/>
                <w:szCs w:val="18"/>
              </w:rPr>
            </w:pPr>
            <w:r w:rsidRPr="008505FB">
              <w:rPr>
                <w:rFonts w:cs="Times New Roman"/>
                <w:color w:val="auto"/>
                <w:sz w:val="18"/>
                <w:szCs w:val="18"/>
              </w:rPr>
              <w:t xml:space="preserve">BSC Audit (BSCA) </w:t>
            </w:r>
          </w:p>
        </w:tc>
        <w:tc>
          <w:tcPr>
            <w:cnfStyle w:val="000010000000" w:firstRow="0" w:lastRow="0" w:firstColumn="0" w:lastColumn="0" w:oddVBand="1" w:evenVBand="0" w:oddHBand="0" w:evenHBand="0" w:firstRowFirstColumn="0" w:firstRowLastColumn="0" w:lastRowFirstColumn="0" w:lastRowLastColumn="0"/>
            <w:tcW w:w="1275" w:type="dxa"/>
          </w:tcPr>
          <w:p w14:paraId="2DC4F4C3" w14:textId="77777777" w:rsidR="002B60EB" w:rsidRPr="008505FB" w:rsidRDefault="002B60EB" w:rsidP="00DF08D4">
            <w:pPr>
              <w:spacing w:before="113" w:line="240" w:lineRule="auto"/>
              <w:jc w:val="center"/>
              <w:rPr>
                <w:rFonts w:cs="Times New Roman"/>
                <w:color w:val="auto"/>
                <w:sz w:val="18"/>
                <w:szCs w:val="18"/>
              </w:rPr>
            </w:pPr>
            <w:r w:rsidRPr="00363AFE">
              <w:rPr>
                <w:rFonts w:cs="Times New Roman"/>
                <w:color w:val="auto"/>
                <w:sz w:val="18"/>
                <w:szCs w:val="18"/>
              </w:rPr>
              <w:t>Detective</w:t>
            </w:r>
          </w:p>
        </w:tc>
        <w:tc>
          <w:tcPr>
            <w:cnfStyle w:val="000100000000" w:firstRow="0" w:lastRow="0" w:firstColumn="0" w:lastColumn="1" w:oddVBand="0" w:evenVBand="0" w:oddHBand="0" w:evenHBand="0" w:firstRowFirstColumn="0" w:firstRowLastColumn="0" w:lastRowFirstColumn="0" w:lastRowLastColumn="0"/>
            <w:tcW w:w="6096" w:type="dxa"/>
          </w:tcPr>
          <w:p w14:paraId="77EEA85D" w14:textId="77777777" w:rsidR="002B60EB" w:rsidRDefault="002B60EB" w:rsidP="00DF08D4">
            <w:pPr>
              <w:spacing w:before="113" w:line="240" w:lineRule="auto"/>
              <w:jc w:val="center"/>
              <w:rPr>
                <w:rFonts w:cs="Times New Roman"/>
                <w:b w:val="0"/>
                <w:color w:val="auto"/>
                <w:sz w:val="18"/>
                <w:szCs w:val="18"/>
              </w:rPr>
            </w:pPr>
            <w:r w:rsidRPr="008505FB">
              <w:rPr>
                <w:rFonts w:cs="Times New Roman"/>
                <w:b w:val="0"/>
                <w:color w:val="auto"/>
                <w:sz w:val="18"/>
                <w:szCs w:val="18"/>
              </w:rPr>
              <w:t>S</w:t>
            </w:r>
            <w:r w:rsidRPr="00363AFE">
              <w:rPr>
                <w:rFonts w:cs="Times New Roman"/>
                <w:b w:val="0"/>
                <w:color w:val="auto"/>
                <w:sz w:val="18"/>
                <w:szCs w:val="18"/>
              </w:rPr>
              <w:t>tandard</w:t>
            </w:r>
          </w:p>
          <w:p w14:paraId="19BDFB96" w14:textId="77777777" w:rsidR="002B60EB" w:rsidRPr="006B7C3A" w:rsidRDefault="002B60EB" w:rsidP="00DF08D4">
            <w:pPr>
              <w:spacing w:before="113" w:line="240" w:lineRule="auto"/>
              <w:jc w:val="center"/>
              <w:rPr>
                <w:rFonts w:cs="Times New Roman"/>
                <w:color w:val="auto"/>
                <w:sz w:val="18"/>
                <w:szCs w:val="18"/>
              </w:rPr>
            </w:pPr>
            <w:r>
              <w:rPr>
                <w:rFonts w:cs="Times New Roman"/>
                <w:color w:val="auto"/>
                <w:sz w:val="18"/>
                <w:szCs w:val="18"/>
              </w:rPr>
              <w:t>Partly flexible – PAB manages scope</w:t>
            </w:r>
          </w:p>
        </w:tc>
      </w:tr>
      <w:tr w:rsidR="002B60EB" w:rsidRPr="008505FB" w14:paraId="45DF842A" w14:textId="77777777" w:rsidTr="001A7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00BC623" w14:textId="77777777" w:rsidR="002B60EB" w:rsidRPr="008505FB" w:rsidRDefault="002B60EB" w:rsidP="00DF08D4">
            <w:pPr>
              <w:spacing w:before="113" w:line="240" w:lineRule="auto"/>
              <w:rPr>
                <w:rFonts w:cs="Times New Roman"/>
                <w:color w:val="auto"/>
                <w:sz w:val="18"/>
                <w:szCs w:val="18"/>
              </w:rPr>
            </w:pPr>
            <w:r w:rsidRPr="008505FB">
              <w:rPr>
                <w:rFonts w:cs="Times New Roman"/>
                <w:color w:val="auto"/>
                <w:sz w:val="18"/>
                <w:szCs w:val="18"/>
              </w:rPr>
              <w:t>Technical Assurance of PAPs (TAPAP)</w:t>
            </w:r>
          </w:p>
        </w:tc>
        <w:tc>
          <w:tcPr>
            <w:cnfStyle w:val="000010000000" w:firstRow="0" w:lastRow="0" w:firstColumn="0" w:lastColumn="0" w:oddVBand="1" w:evenVBand="0" w:oddHBand="0" w:evenHBand="0" w:firstRowFirstColumn="0" w:firstRowLastColumn="0" w:lastRowFirstColumn="0" w:lastRowLastColumn="0"/>
            <w:tcW w:w="1275" w:type="dxa"/>
          </w:tcPr>
          <w:p w14:paraId="0EBD2F2B" w14:textId="77777777" w:rsidR="002B60EB" w:rsidRPr="008505FB" w:rsidRDefault="002B60EB" w:rsidP="00DF08D4">
            <w:pPr>
              <w:spacing w:before="113" w:line="240" w:lineRule="auto"/>
              <w:jc w:val="center"/>
              <w:rPr>
                <w:rFonts w:cs="Times New Roman"/>
                <w:color w:val="auto"/>
                <w:sz w:val="18"/>
                <w:szCs w:val="18"/>
              </w:rPr>
            </w:pPr>
            <w:r w:rsidRPr="00363AFE">
              <w:rPr>
                <w:rFonts w:cs="Times New Roman"/>
                <w:color w:val="auto"/>
                <w:sz w:val="18"/>
                <w:szCs w:val="18"/>
              </w:rPr>
              <w:t>Detective</w:t>
            </w:r>
          </w:p>
        </w:tc>
        <w:tc>
          <w:tcPr>
            <w:cnfStyle w:val="000100000000" w:firstRow="0" w:lastRow="0" w:firstColumn="0" w:lastColumn="1" w:oddVBand="0" w:evenVBand="0" w:oddHBand="0" w:evenHBand="0" w:firstRowFirstColumn="0" w:firstRowLastColumn="0" w:lastRowFirstColumn="0" w:lastRowLastColumn="0"/>
            <w:tcW w:w="6096" w:type="dxa"/>
          </w:tcPr>
          <w:p w14:paraId="0AC7413E" w14:textId="77777777" w:rsidR="002B60EB" w:rsidRDefault="002B60EB" w:rsidP="00DF08D4">
            <w:pPr>
              <w:spacing w:before="113" w:line="240" w:lineRule="auto"/>
              <w:jc w:val="center"/>
              <w:rPr>
                <w:rFonts w:cs="Times New Roman"/>
                <w:b w:val="0"/>
                <w:color w:val="auto"/>
                <w:sz w:val="18"/>
                <w:szCs w:val="18"/>
              </w:rPr>
            </w:pPr>
            <w:r w:rsidRPr="008505FB">
              <w:rPr>
                <w:rFonts w:cs="Times New Roman"/>
                <w:b w:val="0"/>
                <w:color w:val="auto"/>
                <w:sz w:val="18"/>
                <w:szCs w:val="18"/>
              </w:rPr>
              <w:t>N</w:t>
            </w:r>
            <w:r w:rsidRPr="00363AFE">
              <w:rPr>
                <w:rFonts w:cs="Times New Roman"/>
                <w:b w:val="0"/>
                <w:color w:val="auto"/>
                <w:sz w:val="18"/>
                <w:szCs w:val="18"/>
              </w:rPr>
              <w:t>on-standard</w:t>
            </w:r>
          </w:p>
          <w:p w14:paraId="191E98FB" w14:textId="77777777" w:rsidR="002B60EB" w:rsidRPr="006B7C3A" w:rsidRDefault="002B60EB" w:rsidP="00DF08D4">
            <w:pPr>
              <w:spacing w:before="113" w:line="240" w:lineRule="auto"/>
              <w:jc w:val="center"/>
              <w:rPr>
                <w:rFonts w:cs="Times New Roman"/>
                <w:color w:val="auto"/>
                <w:sz w:val="18"/>
                <w:szCs w:val="18"/>
              </w:rPr>
            </w:pPr>
            <w:r>
              <w:rPr>
                <w:rFonts w:cs="Times New Roman"/>
                <w:color w:val="auto"/>
                <w:sz w:val="18"/>
                <w:szCs w:val="18"/>
              </w:rPr>
              <w:t>Fully flexible – triggered by PAB</w:t>
            </w:r>
          </w:p>
        </w:tc>
      </w:tr>
      <w:tr w:rsidR="002B60EB" w:rsidRPr="008505FB" w14:paraId="098FE714" w14:textId="77777777" w:rsidTr="001A705C">
        <w:tc>
          <w:tcPr>
            <w:cnfStyle w:val="001000000000" w:firstRow="0" w:lastRow="0" w:firstColumn="1" w:lastColumn="0" w:oddVBand="0" w:evenVBand="0" w:oddHBand="0" w:evenHBand="0" w:firstRowFirstColumn="0" w:firstRowLastColumn="0" w:lastRowFirstColumn="0" w:lastRowLastColumn="0"/>
            <w:tcW w:w="2802" w:type="dxa"/>
          </w:tcPr>
          <w:p w14:paraId="2ADE14D4" w14:textId="77777777" w:rsidR="002B60EB" w:rsidRPr="008505FB" w:rsidRDefault="002B60EB" w:rsidP="00DF08D4">
            <w:pPr>
              <w:spacing w:before="113" w:line="240" w:lineRule="auto"/>
              <w:rPr>
                <w:rFonts w:cs="Times New Roman"/>
                <w:color w:val="auto"/>
                <w:sz w:val="18"/>
                <w:szCs w:val="18"/>
              </w:rPr>
            </w:pPr>
            <w:r>
              <w:rPr>
                <w:rFonts w:cs="Times New Roman"/>
                <w:color w:val="auto"/>
                <w:sz w:val="18"/>
                <w:szCs w:val="18"/>
              </w:rPr>
              <w:t>Peer Comparison</w:t>
            </w:r>
          </w:p>
        </w:tc>
        <w:tc>
          <w:tcPr>
            <w:cnfStyle w:val="000010000000" w:firstRow="0" w:lastRow="0" w:firstColumn="0" w:lastColumn="0" w:oddVBand="1" w:evenVBand="0" w:oddHBand="0" w:evenHBand="0" w:firstRowFirstColumn="0" w:firstRowLastColumn="0" w:lastRowFirstColumn="0" w:lastRowLastColumn="0"/>
            <w:tcW w:w="1275" w:type="dxa"/>
          </w:tcPr>
          <w:p w14:paraId="24D1CD21" w14:textId="77777777" w:rsidR="002B60EB" w:rsidRPr="008505FB" w:rsidRDefault="002B60EB" w:rsidP="00DF08D4">
            <w:pPr>
              <w:spacing w:before="113" w:line="240" w:lineRule="auto"/>
              <w:jc w:val="center"/>
              <w:rPr>
                <w:rFonts w:cs="Times New Roman"/>
                <w:color w:val="auto"/>
                <w:sz w:val="18"/>
                <w:szCs w:val="18"/>
              </w:rPr>
            </w:pPr>
            <w:r w:rsidRPr="008505FB">
              <w:rPr>
                <w:rFonts w:cs="Times New Roman"/>
                <w:color w:val="auto"/>
                <w:sz w:val="18"/>
                <w:szCs w:val="18"/>
              </w:rPr>
              <w:t>I</w:t>
            </w:r>
            <w:r w:rsidRPr="00363AFE">
              <w:rPr>
                <w:rFonts w:cs="Times New Roman"/>
                <w:color w:val="auto"/>
                <w:sz w:val="18"/>
                <w:szCs w:val="18"/>
              </w:rPr>
              <w:t>ncentive</w:t>
            </w:r>
          </w:p>
        </w:tc>
        <w:tc>
          <w:tcPr>
            <w:cnfStyle w:val="000100000000" w:firstRow="0" w:lastRow="0" w:firstColumn="0" w:lastColumn="1" w:oddVBand="0" w:evenVBand="0" w:oddHBand="0" w:evenHBand="0" w:firstRowFirstColumn="0" w:firstRowLastColumn="0" w:lastRowFirstColumn="0" w:lastRowLastColumn="0"/>
            <w:tcW w:w="6096" w:type="dxa"/>
          </w:tcPr>
          <w:p w14:paraId="1FB722BD" w14:textId="77777777" w:rsidR="002B60EB" w:rsidRDefault="002B60EB" w:rsidP="00DF08D4">
            <w:pPr>
              <w:spacing w:before="113" w:line="240" w:lineRule="auto"/>
              <w:jc w:val="center"/>
              <w:rPr>
                <w:rFonts w:cs="Times New Roman"/>
                <w:b w:val="0"/>
                <w:color w:val="auto"/>
                <w:sz w:val="18"/>
                <w:szCs w:val="18"/>
              </w:rPr>
            </w:pPr>
            <w:r w:rsidRPr="008505FB">
              <w:rPr>
                <w:rFonts w:cs="Times New Roman"/>
                <w:b w:val="0"/>
                <w:color w:val="auto"/>
                <w:sz w:val="18"/>
                <w:szCs w:val="18"/>
              </w:rPr>
              <w:t>S</w:t>
            </w:r>
            <w:r w:rsidRPr="00363AFE">
              <w:rPr>
                <w:rFonts w:cs="Times New Roman"/>
                <w:b w:val="0"/>
                <w:color w:val="auto"/>
                <w:sz w:val="18"/>
                <w:szCs w:val="18"/>
              </w:rPr>
              <w:t>tandard</w:t>
            </w:r>
          </w:p>
          <w:p w14:paraId="4FBC6588" w14:textId="77777777" w:rsidR="002B60EB" w:rsidRPr="006B7C3A" w:rsidRDefault="002B60EB" w:rsidP="00DF08D4">
            <w:pPr>
              <w:spacing w:before="113" w:line="240" w:lineRule="auto"/>
              <w:jc w:val="center"/>
              <w:rPr>
                <w:rFonts w:cs="Times New Roman"/>
                <w:color w:val="auto"/>
                <w:sz w:val="18"/>
                <w:szCs w:val="18"/>
              </w:rPr>
            </w:pPr>
            <w:r>
              <w:rPr>
                <w:rFonts w:cs="Times New Roman"/>
                <w:color w:val="auto"/>
                <w:sz w:val="18"/>
                <w:szCs w:val="18"/>
              </w:rPr>
              <w:t>Partly flexible – PAB decides Serials</w:t>
            </w:r>
          </w:p>
        </w:tc>
      </w:tr>
      <w:tr w:rsidR="002B60EB" w:rsidRPr="008505FB" w14:paraId="7759E6C8" w14:textId="77777777" w:rsidTr="001A7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0A0A77B" w14:textId="77777777" w:rsidR="002B60EB" w:rsidRPr="008505FB" w:rsidRDefault="002B60EB" w:rsidP="00DF08D4">
            <w:pPr>
              <w:spacing w:before="113" w:line="240" w:lineRule="auto"/>
              <w:rPr>
                <w:rFonts w:cs="Times New Roman"/>
                <w:color w:val="auto"/>
                <w:sz w:val="18"/>
                <w:szCs w:val="18"/>
              </w:rPr>
            </w:pPr>
            <w:r w:rsidRPr="008505FB">
              <w:rPr>
                <w:rFonts w:cs="Times New Roman"/>
                <w:color w:val="auto"/>
                <w:sz w:val="18"/>
                <w:szCs w:val="18"/>
              </w:rPr>
              <w:t>Removal of Qualification</w:t>
            </w:r>
          </w:p>
        </w:tc>
        <w:tc>
          <w:tcPr>
            <w:cnfStyle w:val="000010000000" w:firstRow="0" w:lastRow="0" w:firstColumn="0" w:lastColumn="0" w:oddVBand="1" w:evenVBand="0" w:oddHBand="0" w:evenHBand="0" w:firstRowFirstColumn="0" w:firstRowLastColumn="0" w:lastRowFirstColumn="0" w:lastRowLastColumn="0"/>
            <w:tcW w:w="1275" w:type="dxa"/>
          </w:tcPr>
          <w:p w14:paraId="5E4602E2" w14:textId="77777777" w:rsidR="002B60EB" w:rsidRPr="008505FB" w:rsidRDefault="002B60EB" w:rsidP="00DF08D4">
            <w:pPr>
              <w:spacing w:before="113" w:line="240" w:lineRule="auto"/>
              <w:jc w:val="center"/>
              <w:rPr>
                <w:rFonts w:cs="Times New Roman"/>
                <w:color w:val="auto"/>
                <w:sz w:val="18"/>
                <w:szCs w:val="18"/>
              </w:rPr>
            </w:pPr>
            <w:r w:rsidRPr="008505FB">
              <w:rPr>
                <w:rFonts w:cs="Times New Roman"/>
                <w:color w:val="auto"/>
                <w:sz w:val="18"/>
                <w:szCs w:val="18"/>
              </w:rPr>
              <w:t>I</w:t>
            </w:r>
            <w:r w:rsidRPr="00363AFE">
              <w:rPr>
                <w:rFonts w:cs="Times New Roman"/>
                <w:color w:val="auto"/>
                <w:sz w:val="18"/>
                <w:szCs w:val="18"/>
              </w:rPr>
              <w:t>ncentive</w:t>
            </w:r>
          </w:p>
        </w:tc>
        <w:tc>
          <w:tcPr>
            <w:cnfStyle w:val="000100000000" w:firstRow="0" w:lastRow="0" w:firstColumn="0" w:lastColumn="1" w:oddVBand="0" w:evenVBand="0" w:oddHBand="0" w:evenHBand="0" w:firstRowFirstColumn="0" w:firstRowLastColumn="0" w:lastRowFirstColumn="0" w:lastRowLastColumn="0"/>
            <w:tcW w:w="6096" w:type="dxa"/>
          </w:tcPr>
          <w:p w14:paraId="3EE972D7" w14:textId="77777777" w:rsidR="002B60EB" w:rsidRDefault="002B60EB" w:rsidP="00DF08D4">
            <w:pPr>
              <w:spacing w:before="113" w:line="240" w:lineRule="auto"/>
              <w:jc w:val="center"/>
              <w:rPr>
                <w:rFonts w:cs="Times New Roman"/>
                <w:b w:val="0"/>
                <w:color w:val="auto"/>
                <w:sz w:val="18"/>
                <w:szCs w:val="18"/>
              </w:rPr>
            </w:pPr>
            <w:r w:rsidRPr="008505FB">
              <w:rPr>
                <w:rFonts w:cs="Times New Roman"/>
                <w:b w:val="0"/>
                <w:color w:val="auto"/>
                <w:sz w:val="18"/>
                <w:szCs w:val="18"/>
              </w:rPr>
              <w:t>N</w:t>
            </w:r>
            <w:r w:rsidRPr="00363AFE">
              <w:rPr>
                <w:rFonts w:cs="Times New Roman"/>
                <w:b w:val="0"/>
                <w:color w:val="auto"/>
                <w:sz w:val="18"/>
                <w:szCs w:val="18"/>
              </w:rPr>
              <w:t>on-standard</w:t>
            </w:r>
          </w:p>
          <w:p w14:paraId="1CE77AAC" w14:textId="77777777" w:rsidR="002B60EB" w:rsidRPr="006B7C3A" w:rsidRDefault="002B60EB" w:rsidP="00DF08D4">
            <w:pPr>
              <w:spacing w:before="113" w:line="240" w:lineRule="auto"/>
              <w:jc w:val="center"/>
              <w:rPr>
                <w:rFonts w:cs="Times New Roman"/>
                <w:color w:val="auto"/>
                <w:sz w:val="18"/>
                <w:szCs w:val="18"/>
              </w:rPr>
            </w:pPr>
            <w:r>
              <w:rPr>
                <w:rFonts w:cs="Times New Roman"/>
                <w:color w:val="auto"/>
                <w:sz w:val="18"/>
                <w:szCs w:val="18"/>
              </w:rPr>
              <w:t>Fully flexible – triggered by PAB</w:t>
            </w:r>
          </w:p>
        </w:tc>
      </w:tr>
      <w:tr w:rsidR="002B60EB" w:rsidRPr="008505FB" w14:paraId="237C0041" w14:textId="77777777" w:rsidTr="001A705C">
        <w:tc>
          <w:tcPr>
            <w:cnfStyle w:val="001000000000" w:firstRow="0" w:lastRow="0" w:firstColumn="1" w:lastColumn="0" w:oddVBand="0" w:evenVBand="0" w:oddHBand="0" w:evenHBand="0" w:firstRowFirstColumn="0" w:firstRowLastColumn="0" w:lastRowFirstColumn="0" w:lastRowLastColumn="0"/>
            <w:tcW w:w="2802" w:type="dxa"/>
          </w:tcPr>
          <w:p w14:paraId="4EF77FBD" w14:textId="77777777" w:rsidR="002B60EB" w:rsidRPr="008505FB" w:rsidRDefault="002B60EB" w:rsidP="00DF08D4">
            <w:pPr>
              <w:spacing w:before="113" w:line="240" w:lineRule="auto"/>
              <w:rPr>
                <w:rFonts w:cs="Times New Roman"/>
                <w:color w:val="auto"/>
                <w:sz w:val="18"/>
                <w:szCs w:val="18"/>
              </w:rPr>
            </w:pPr>
            <w:r>
              <w:rPr>
                <w:rFonts w:cs="Times New Roman"/>
                <w:color w:val="auto"/>
                <w:sz w:val="18"/>
                <w:szCs w:val="18"/>
              </w:rPr>
              <w:t xml:space="preserve">Breach and </w:t>
            </w:r>
            <w:r w:rsidRPr="008505FB">
              <w:rPr>
                <w:rFonts w:cs="Times New Roman"/>
                <w:color w:val="auto"/>
                <w:sz w:val="18"/>
                <w:szCs w:val="18"/>
              </w:rPr>
              <w:t>Default</w:t>
            </w:r>
          </w:p>
        </w:tc>
        <w:tc>
          <w:tcPr>
            <w:cnfStyle w:val="000010000000" w:firstRow="0" w:lastRow="0" w:firstColumn="0" w:lastColumn="0" w:oddVBand="1" w:evenVBand="0" w:oddHBand="0" w:evenHBand="0" w:firstRowFirstColumn="0" w:firstRowLastColumn="0" w:lastRowFirstColumn="0" w:lastRowLastColumn="0"/>
            <w:tcW w:w="1275" w:type="dxa"/>
          </w:tcPr>
          <w:p w14:paraId="07EC63E2" w14:textId="77777777" w:rsidR="002B60EB" w:rsidRPr="008505FB" w:rsidRDefault="002B60EB" w:rsidP="00DF08D4">
            <w:pPr>
              <w:spacing w:before="113" w:line="240" w:lineRule="auto"/>
              <w:jc w:val="center"/>
              <w:rPr>
                <w:rFonts w:cs="Times New Roman"/>
                <w:color w:val="auto"/>
                <w:sz w:val="18"/>
                <w:szCs w:val="18"/>
              </w:rPr>
            </w:pPr>
            <w:r w:rsidRPr="008505FB">
              <w:rPr>
                <w:rFonts w:cs="Times New Roman"/>
                <w:color w:val="auto"/>
                <w:sz w:val="18"/>
                <w:szCs w:val="18"/>
              </w:rPr>
              <w:t>I</w:t>
            </w:r>
            <w:r w:rsidRPr="00363AFE">
              <w:rPr>
                <w:rFonts w:cs="Times New Roman"/>
                <w:color w:val="auto"/>
                <w:sz w:val="18"/>
                <w:szCs w:val="18"/>
              </w:rPr>
              <w:t>ncentive</w:t>
            </w:r>
          </w:p>
        </w:tc>
        <w:tc>
          <w:tcPr>
            <w:cnfStyle w:val="000100000000" w:firstRow="0" w:lastRow="0" w:firstColumn="0" w:lastColumn="1" w:oddVBand="0" w:evenVBand="0" w:oddHBand="0" w:evenHBand="0" w:firstRowFirstColumn="0" w:firstRowLastColumn="0" w:lastRowFirstColumn="0" w:lastRowLastColumn="0"/>
            <w:tcW w:w="6096" w:type="dxa"/>
          </w:tcPr>
          <w:p w14:paraId="12C09000" w14:textId="77777777" w:rsidR="002B60EB" w:rsidRDefault="002B60EB" w:rsidP="00DF08D4">
            <w:pPr>
              <w:spacing w:before="113" w:line="240" w:lineRule="auto"/>
              <w:jc w:val="center"/>
              <w:rPr>
                <w:rFonts w:cs="Times New Roman"/>
                <w:b w:val="0"/>
                <w:color w:val="auto"/>
                <w:sz w:val="18"/>
                <w:szCs w:val="18"/>
              </w:rPr>
            </w:pPr>
            <w:r w:rsidRPr="008505FB">
              <w:rPr>
                <w:rFonts w:cs="Times New Roman"/>
                <w:b w:val="0"/>
                <w:color w:val="auto"/>
                <w:sz w:val="18"/>
                <w:szCs w:val="18"/>
              </w:rPr>
              <w:t>N</w:t>
            </w:r>
            <w:r w:rsidRPr="00363AFE">
              <w:rPr>
                <w:rFonts w:cs="Times New Roman"/>
                <w:b w:val="0"/>
                <w:color w:val="auto"/>
                <w:sz w:val="18"/>
                <w:szCs w:val="18"/>
              </w:rPr>
              <w:t>on-standard</w:t>
            </w:r>
          </w:p>
          <w:p w14:paraId="0060FAA3" w14:textId="77777777" w:rsidR="002B60EB" w:rsidRPr="008505FB" w:rsidRDefault="002B60EB" w:rsidP="00DF08D4">
            <w:pPr>
              <w:spacing w:before="113" w:line="240" w:lineRule="auto"/>
              <w:jc w:val="center"/>
              <w:rPr>
                <w:rFonts w:cs="Times New Roman"/>
                <w:b w:val="0"/>
                <w:color w:val="auto"/>
                <w:sz w:val="18"/>
                <w:szCs w:val="18"/>
              </w:rPr>
            </w:pPr>
            <w:r>
              <w:rPr>
                <w:rFonts w:cs="Times New Roman"/>
                <w:color w:val="auto"/>
                <w:sz w:val="18"/>
                <w:szCs w:val="18"/>
              </w:rPr>
              <w:t>Fully flexible – triggered by PAB</w:t>
            </w:r>
          </w:p>
        </w:tc>
      </w:tr>
      <w:tr w:rsidR="002B60EB" w:rsidRPr="008505FB" w14:paraId="4C2D13DD" w14:textId="77777777" w:rsidTr="001A7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7228A90" w14:textId="77777777" w:rsidR="002B60EB" w:rsidRPr="008505FB" w:rsidRDefault="002B60EB" w:rsidP="00DF08D4">
            <w:pPr>
              <w:spacing w:before="113" w:line="240" w:lineRule="auto"/>
              <w:rPr>
                <w:rFonts w:cs="Times New Roman"/>
                <w:color w:val="auto"/>
                <w:sz w:val="18"/>
                <w:szCs w:val="18"/>
              </w:rPr>
            </w:pPr>
            <w:r w:rsidRPr="008505FB">
              <w:rPr>
                <w:rFonts w:cs="Times New Roman"/>
                <w:color w:val="auto"/>
                <w:sz w:val="18"/>
                <w:szCs w:val="18"/>
              </w:rPr>
              <w:t>Supplier Charges</w:t>
            </w:r>
          </w:p>
        </w:tc>
        <w:tc>
          <w:tcPr>
            <w:cnfStyle w:val="000010000000" w:firstRow="0" w:lastRow="0" w:firstColumn="0" w:lastColumn="0" w:oddVBand="1" w:evenVBand="0" w:oddHBand="0" w:evenHBand="0" w:firstRowFirstColumn="0" w:firstRowLastColumn="0" w:lastRowFirstColumn="0" w:lastRowLastColumn="0"/>
            <w:tcW w:w="1275" w:type="dxa"/>
          </w:tcPr>
          <w:p w14:paraId="332AB372" w14:textId="77777777" w:rsidR="002B60EB" w:rsidRPr="008505FB" w:rsidRDefault="002B60EB" w:rsidP="00DF08D4">
            <w:pPr>
              <w:spacing w:before="113" w:line="240" w:lineRule="auto"/>
              <w:jc w:val="center"/>
              <w:rPr>
                <w:rFonts w:cs="Times New Roman"/>
                <w:color w:val="auto"/>
                <w:sz w:val="18"/>
                <w:szCs w:val="18"/>
              </w:rPr>
            </w:pPr>
            <w:r w:rsidRPr="00363AFE">
              <w:rPr>
                <w:rFonts w:cs="Times New Roman"/>
                <w:color w:val="auto"/>
                <w:sz w:val="18"/>
                <w:szCs w:val="18"/>
              </w:rPr>
              <w:t>Remedial</w:t>
            </w:r>
          </w:p>
        </w:tc>
        <w:tc>
          <w:tcPr>
            <w:cnfStyle w:val="000100000000" w:firstRow="0" w:lastRow="0" w:firstColumn="0" w:lastColumn="1" w:oddVBand="0" w:evenVBand="0" w:oddHBand="0" w:evenHBand="0" w:firstRowFirstColumn="0" w:firstRowLastColumn="0" w:lastRowFirstColumn="0" w:lastRowLastColumn="0"/>
            <w:tcW w:w="6096" w:type="dxa"/>
          </w:tcPr>
          <w:p w14:paraId="0832DCEE" w14:textId="77777777" w:rsidR="002B60EB" w:rsidRDefault="002B60EB" w:rsidP="00DF08D4">
            <w:pPr>
              <w:spacing w:before="113" w:line="240" w:lineRule="auto"/>
              <w:jc w:val="center"/>
              <w:rPr>
                <w:rFonts w:cs="Times New Roman"/>
                <w:b w:val="0"/>
                <w:color w:val="auto"/>
                <w:sz w:val="18"/>
                <w:szCs w:val="18"/>
              </w:rPr>
            </w:pPr>
            <w:r w:rsidRPr="008505FB">
              <w:rPr>
                <w:rFonts w:cs="Times New Roman"/>
                <w:b w:val="0"/>
                <w:color w:val="auto"/>
                <w:sz w:val="18"/>
                <w:szCs w:val="18"/>
              </w:rPr>
              <w:t>M</w:t>
            </w:r>
            <w:r w:rsidRPr="00363AFE">
              <w:rPr>
                <w:rFonts w:cs="Times New Roman"/>
                <w:b w:val="0"/>
                <w:color w:val="auto"/>
                <w:sz w:val="18"/>
                <w:szCs w:val="18"/>
              </w:rPr>
              <w:t>andatory</w:t>
            </w:r>
          </w:p>
          <w:p w14:paraId="22525900" w14:textId="77777777" w:rsidR="002B60EB" w:rsidRPr="008505FB" w:rsidRDefault="002B60EB" w:rsidP="00DF08D4">
            <w:pPr>
              <w:spacing w:before="113" w:line="240" w:lineRule="auto"/>
              <w:jc w:val="center"/>
              <w:rPr>
                <w:rFonts w:cs="Times New Roman"/>
                <w:b w:val="0"/>
                <w:color w:val="auto"/>
                <w:sz w:val="18"/>
                <w:szCs w:val="18"/>
              </w:rPr>
            </w:pPr>
            <w:r>
              <w:rPr>
                <w:rFonts w:cs="Times New Roman"/>
                <w:color w:val="auto"/>
                <w:sz w:val="18"/>
                <w:szCs w:val="18"/>
              </w:rPr>
              <w:t>Applicable to all relevant parties as per the BSC</w:t>
            </w:r>
          </w:p>
        </w:tc>
      </w:tr>
      <w:tr w:rsidR="00613CDB" w:rsidRPr="008505FB" w14:paraId="1B441043" w14:textId="77777777" w:rsidTr="001522AA">
        <w:tc>
          <w:tcPr>
            <w:cnfStyle w:val="001000000000" w:firstRow="0" w:lastRow="0" w:firstColumn="1" w:lastColumn="0" w:oddVBand="0" w:evenVBand="0" w:oddHBand="0" w:evenHBand="0" w:firstRowFirstColumn="0" w:firstRowLastColumn="0" w:lastRowFirstColumn="0" w:lastRowLastColumn="0"/>
            <w:tcW w:w="2802" w:type="dxa"/>
            <w:shd w:val="clear" w:color="auto" w:fill="0090AB"/>
            <w:vAlign w:val="center"/>
          </w:tcPr>
          <w:p w14:paraId="785FEE55" w14:textId="77777777" w:rsidR="00613CDB" w:rsidRPr="008505FB" w:rsidRDefault="00613CDB" w:rsidP="001522AA">
            <w:pPr>
              <w:keepNext/>
              <w:spacing w:before="113" w:line="240" w:lineRule="auto"/>
              <w:jc w:val="center"/>
              <w:rPr>
                <w:rFonts w:cs="Times New Roman"/>
                <w:color w:val="FFFFFF"/>
                <w:szCs w:val="24"/>
              </w:rPr>
            </w:pPr>
            <w:r w:rsidRPr="008505FB">
              <w:rPr>
                <w:rFonts w:cs="Times New Roman"/>
                <w:color w:val="FFFFFF"/>
                <w:szCs w:val="24"/>
              </w:rPr>
              <w:t>Performance Assurance Technique</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0090AB"/>
            <w:vAlign w:val="center"/>
          </w:tcPr>
          <w:p w14:paraId="1347260C" w14:textId="77777777" w:rsidR="00613CDB" w:rsidRPr="008505FB" w:rsidRDefault="00613CDB" w:rsidP="001522AA">
            <w:pPr>
              <w:keepNext/>
              <w:spacing w:before="113" w:line="240" w:lineRule="auto"/>
              <w:jc w:val="center"/>
              <w:rPr>
                <w:rFonts w:cs="Times New Roman"/>
                <w:color w:val="FFFFFF"/>
                <w:szCs w:val="24"/>
              </w:rPr>
            </w:pPr>
            <w:r w:rsidRPr="008505FB">
              <w:rPr>
                <w:rFonts w:cs="Times New Roman"/>
                <w:color w:val="FFFFFF"/>
                <w:szCs w:val="24"/>
              </w:rPr>
              <w:t>Technique Category</w:t>
            </w:r>
          </w:p>
        </w:tc>
        <w:tc>
          <w:tcPr>
            <w:cnfStyle w:val="000100000000" w:firstRow="0" w:lastRow="0" w:firstColumn="0" w:lastColumn="1" w:oddVBand="0" w:evenVBand="0" w:oddHBand="0" w:evenHBand="0" w:firstRowFirstColumn="0" w:firstRowLastColumn="0" w:lastRowFirstColumn="0" w:lastRowLastColumn="0"/>
            <w:tcW w:w="6096" w:type="dxa"/>
            <w:shd w:val="clear" w:color="auto" w:fill="0090AB"/>
            <w:vAlign w:val="center"/>
          </w:tcPr>
          <w:p w14:paraId="2B8B54E1" w14:textId="77777777" w:rsidR="00613CDB" w:rsidRPr="008505FB" w:rsidRDefault="00613CDB" w:rsidP="001522AA">
            <w:pPr>
              <w:keepNext/>
              <w:spacing w:before="113" w:line="240" w:lineRule="auto"/>
              <w:jc w:val="center"/>
              <w:rPr>
                <w:rFonts w:cs="Times New Roman"/>
                <w:color w:val="FFFFFF"/>
                <w:szCs w:val="24"/>
              </w:rPr>
            </w:pPr>
            <w:r w:rsidRPr="008505FB">
              <w:rPr>
                <w:rFonts w:cs="Times New Roman"/>
                <w:color w:val="FFFFFF"/>
                <w:szCs w:val="24"/>
              </w:rPr>
              <w:t>Technique Type</w:t>
            </w:r>
          </w:p>
        </w:tc>
      </w:tr>
      <w:tr w:rsidR="00613CDB" w:rsidRPr="008505FB" w14:paraId="457810AA" w14:textId="77777777" w:rsidTr="001A705C">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802" w:type="dxa"/>
          </w:tcPr>
          <w:p w14:paraId="1D30899F" w14:textId="77777777" w:rsidR="00613CDB" w:rsidRPr="008505FB" w:rsidRDefault="00613CDB" w:rsidP="00613CDB">
            <w:pPr>
              <w:spacing w:before="113" w:line="240" w:lineRule="auto"/>
              <w:rPr>
                <w:rFonts w:cs="Times New Roman"/>
                <w:color w:val="auto"/>
                <w:sz w:val="18"/>
                <w:szCs w:val="18"/>
              </w:rPr>
            </w:pPr>
            <w:r w:rsidRPr="008505FB">
              <w:rPr>
                <w:rFonts w:cs="Times New Roman"/>
                <w:color w:val="auto"/>
                <w:sz w:val="18"/>
                <w:szCs w:val="18"/>
              </w:rPr>
              <w:t>Error and Failure Resolution (EFR)</w:t>
            </w:r>
          </w:p>
        </w:tc>
        <w:tc>
          <w:tcPr>
            <w:cnfStyle w:val="000010000000" w:firstRow="0" w:lastRow="0" w:firstColumn="0" w:lastColumn="0" w:oddVBand="1" w:evenVBand="0" w:oddHBand="0" w:evenHBand="0" w:firstRowFirstColumn="0" w:firstRowLastColumn="0" w:lastRowFirstColumn="0" w:lastRowLastColumn="0"/>
            <w:tcW w:w="1275" w:type="dxa"/>
          </w:tcPr>
          <w:p w14:paraId="6A1C63D6" w14:textId="77777777" w:rsidR="00613CDB" w:rsidRPr="008505FB" w:rsidRDefault="00613CDB" w:rsidP="00613CDB">
            <w:pPr>
              <w:spacing w:before="113" w:line="240" w:lineRule="auto"/>
              <w:jc w:val="center"/>
              <w:rPr>
                <w:rFonts w:cs="Times New Roman"/>
                <w:color w:val="auto"/>
                <w:sz w:val="18"/>
                <w:szCs w:val="18"/>
              </w:rPr>
            </w:pPr>
            <w:r w:rsidRPr="00363AFE">
              <w:rPr>
                <w:rFonts w:cs="Times New Roman"/>
                <w:color w:val="auto"/>
                <w:sz w:val="18"/>
                <w:szCs w:val="18"/>
              </w:rPr>
              <w:t>Remedial</w:t>
            </w:r>
          </w:p>
        </w:tc>
        <w:tc>
          <w:tcPr>
            <w:cnfStyle w:val="000100000000" w:firstRow="0" w:lastRow="0" w:firstColumn="0" w:lastColumn="1" w:oddVBand="0" w:evenVBand="0" w:oddHBand="0" w:evenHBand="0" w:firstRowFirstColumn="0" w:firstRowLastColumn="0" w:lastRowFirstColumn="0" w:lastRowLastColumn="0"/>
            <w:tcW w:w="6096" w:type="dxa"/>
          </w:tcPr>
          <w:p w14:paraId="5E2F0918" w14:textId="77777777" w:rsidR="00613CDB" w:rsidRDefault="00613CDB" w:rsidP="00613CDB">
            <w:pPr>
              <w:spacing w:before="113" w:line="240" w:lineRule="auto"/>
              <w:jc w:val="center"/>
              <w:rPr>
                <w:rFonts w:cs="Times New Roman"/>
                <w:b w:val="0"/>
                <w:color w:val="auto"/>
                <w:sz w:val="18"/>
                <w:szCs w:val="18"/>
              </w:rPr>
            </w:pPr>
            <w:r w:rsidRPr="008505FB">
              <w:rPr>
                <w:rFonts w:cs="Times New Roman"/>
                <w:b w:val="0"/>
                <w:color w:val="auto"/>
                <w:sz w:val="18"/>
                <w:szCs w:val="18"/>
              </w:rPr>
              <w:t>N</w:t>
            </w:r>
            <w:r w:rsidRPr="00363AFE">
              <w:rPr>
                <w:rFonts w:cs="Times New Roman"/>
                <w:b w:val="0"/>
                <w:color w:val="auto"/>
                <w:sz w:val="18"/>
                <w:szCs w:val="18"/>
              </w:rPr>
              <w:t>on-standard</w:t>
            </w:r>
          </w:p>
          <w:p w14:paraId="4D7CBD54" w14:textId="77777777" w:rsidR="00613CDB" w:rsidRPr="006B7C3A" w:rsidRDefault="00613CDB" w:rsidP="00613CDB">
            <w:pPr>
              <w:spacing w:before="113" w:line="240" w:lineRule="auto"/>
              <w:jc w:val="center"/>
              <w:rPr>
                <w:rFonts w:cs="Times New Roman"/>
                <w:color w:val="auto"/>
                <w:sz w:val="18"/>
                <w:szCs w:val="18"/>
              </w:rPr>
            </w:pPr>
            <w:r>
              <w:rPr>
                <w:rFonts w:cs="Times New Roman"/>
                <w:color w:val="auto"/>
                <w:sz w:val="18"/>
                <w:szCs w:val="18"/>
              </w:rPr>
              <w:t>Fully flexible – triggered by PAB</w:t>
            </w:r>
          </w:p>
        </w:tc>
      </w:tr>
      <w:tr w:rsidR="00613CDB" w:rsidRPr="008505FB" w14:paraId="68ADF11A" w14:textId="77777777" w:rsidTr="001A705C">
        <w:trPr>
          <w:trHeight w:val="543"/>
        </w:trPr>
        <w:tc>
          <w:tcPr>
            <w:cnfStyle w:val="001000000000" w:firstRow="0" w:lastRow="0" w:firstColumn="1" w:lastColumn="0" w:oddVBand="0" w:evenVBand="0" w:oddHBand="0" w:evenHBand="0" w:firstRowFirstColumn="0" w:firstRowLastColumn="0" w:lastRowFirstColumn="0" w:lastRowLastColumn="0"/>
            <w:tcW w:w="2802" w:type="dxa"/>
          </w:tcPr>
          <w:p w14:paraId="2A2418BC" w14:textId="77777777" w:rsidR="00613CDB" w:rsidRPr="008505FB" w:rsidRDefault="00613CDB" w:rsidP="00613CDB">
            <w:pPr>
              <w:spacing w:before="113" w:line="240" w:lineRule="auto"/>
              <w:rPr>
                <w:rFonts w:cs="Times New Roman"/>
                <w:color w:val="auto"/>
                <w:sz w:val="18"/>
                <w:szCs w:val="18"/>
              </w:rPr>
            </w:pPr>
            <w:r w:rsidRPr="008505FB">
              <w:rPr>
                <w:rFonts w:cs="Times New Roman"/>
                <w:color w:val="auto"/>
                <w:sz w:val="18"/>
                <w:szCs w:val="18"/>
              </w:rPr>
              <w:t>Trading Disputes</w:t>
            </w:r>
          </w:p>
        </w:tc>
        <w:tc>
          <w:tcPr>
            <w:cnfStyle w:val="000010000000" w:firstRow="0" w:lastRow="0" w:firstColumn="0" w:lastColumn="0" w:oddVBand="1" w:evenVBand="0" w:oddHBand="0" w:evenHBand="0" w:firstRowFirstColumn="0" w:firstRowLastColumn="0" w:lastRowFirstColumn="0" w:lastRowLastColumn="0"/>
            <w:tcW w:w="1275" w:type="dxa"/>
          </w:tcPr>
          <w:p w14:paraId="45D5A902" w14:textId="77777777" w:rsidR="00613CDB" w:rsidRPr="008505FB" w:rsidRDefault="00613CDB" w:rsidP="00613CDB">
            <w:pPr>
              <w:spacing w:before="113" w:line="240" w:lineRule="auto"/>
              <w:jc w:val="center"/>
              <w:rPr>
                <w:rFonts w:cs="Times New Roman"/>
                <w:bCs/>
                <w:color w:val="auto"/>
                <w:sz w:val="18"/>
                <w:szCs w:val="18"/>
              </w:rPr>
            </w:pPr>
            <w:r w:rsidRPr="00363AFE">
              <w:rPr>
                <w:rFonts w:cs="Times New Roman"/>
                <w:color w:val="auto"/>
                <w:sz w:val="18"/>
                <w:szCs w:val="18"/>
              </w:rPr>
              <w:t>Remedial</w:t>
            </w:r>
          </w:p>
        </w:tc>
        <w:tc>
          <w:tcPr>
            <w:cnfStyle w:val="000100000000" w:firstRow="0" w:lastRow="0" w:firstColumn="0" w:lastColumn="1" w:oddVBand="0" w:evenVBand="0" w:oddHBand="0" w:evenHBand="0" w:firstRowFirstColumn="0" w:firstRowLastColumn="0" w:lastRowFirstColumn="0" w:lastRowLastColumn="0"/>
            <w:tcW w:w="6096" w:type="dxa"/>
          </w:tcPr>
          <w:p w14:paraId="30C17ADC" w14:textId="77777777" w:rsidR="00613CDB" w:rsidRDefault="00613CDB" w:rsidP="00613CDB">
            <w:pPr>
              <w:spacing w:before="113" w:line="240" w:lineRule="auto"/>
              <w:jc w:val="center"/>
              <w:rPr>
                <w:rFonts w:cs="Times New Roman"/>
                <w:b w:val="0"/>
                <w:color w:val="auto"/>
                <w:sz w:val="18"/>
                <w:szCs w:val="18"/>
              </w:rPr>
            </w:pPr>
            <w:r w:rsidRPr="008505FB">
              <w:rPr>
                <w:rFonts w:cs="Times New Roman"/>
                <w:b w:val="0"/>
                <w:color w:val="auto"/>
                <w:sz w:val="18"/>
                <w:szCs w:val="18"/>
              </w:rPr>
              <w:t>N</w:t>
            </w:r>
            <w:r w:rsidRPr="00363AFE">
              <w:rPr>
                <w:rFonts w:cs="Times New Roman"/>
                <w:b w:val="0"/>
                <w:color w:val="auto"/>
                <w:sz w:val="18"/>
                <w:szCs w:val="18"/>
              </w:rPr>
              <w:t>on-standard</w:t>
            </w:r>
          </w:p>
          <w:p w14:paraId="09930831" w14:textId="77777777" w:rsidR="00613CDB" w:rsidRPr="006B7C3A" w:rsidRDefault="00613CDB" w:rsidP="00613CDB">
            <w:pPr>
              <w:spacing w:before="113" w:line="240" w:lineRule="auto"/>
              <w:jc w:val="center"/>
              <w:rPr>
                <w:rFonts w:cs="Times New Roman"/>
                <w:color w:val="auto"/>
                <w:sz w:val="18"/>
                <w:szCs w:val="18"/>
              </w:rPr>
            </w:pPr>
            <w:r>
              <w:rPr>
                <w:rFonts w:cs="Times New Roman"/>
                <w:color w:val="auto"/>
                <w:sz w:val="18"/>
                <w:szCs w:val="18"/>
              </w:rPr>
              <w:t>Partly flexible – deployed for errors meeting BSC criteria</w:t>
            </w:r>
          </w:p>
        </w:tc>
      </w:tr>
      <w:tr w:rsidR="00613CDB" w:rsidRPr="008505FB" w14:paraId="32BABD73" w14:textId="77777777" w:rsidTr="001A705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4076036" w14:textId="77777777" w:rsidR="00613CDB" w:rsidRPr="008505FB" w:rsidRDefault="00613CDB" w:rsidP="00613CDB">
            <w:pPr>
              <w:spacing w:before="113" w:line="240" w:lineRule="auto"/>
              <w:rPr>
                <w:rFonts w:cs="Times New Roman"/>
                <w:color w:val="auto"/>
                <w:sz w:val="18"/>
                <w:szCs w:val="18"/>
              </w:rPr>
            </w:pPr>
            <w:r w:rsidRPr="008505FB">
              <w:rPr>
                <w:rFonts w:cs="Times New Roman"/>
                <w:color w:val="auto"/>
                <w:sz w:val="18"/>
                <w:szCs w:val="18"/>
              </w:rPr>
              <w:t>Change Mechanisms</w:t>
            </w:r>
            <w:r>
              <w:rPr>
                <w:rFonts w:cs="Times New Roman"/>
                <w:color w:val="auto"/>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275" w:type="dxa"/>
          </w:tcPr>
          <w:p w14:paraId="5A02FBCA" w14:textId="77777777" w:rsidR="00613CDB" w:rsidRPr="008505FB" w:rsidRDefault="00613CDB" w:rsidP="00613CDB">
            <w:pPr>
              <w:spacing w:before="113" w:line="240" w:lineRule="auto"/>
              <w:jc w:val="center"/>
              <w:rPr>
                <w:rFonts w:cs="Times New Roman"/>
                <w:b w:val="0"/>
                <w:color w:val="auto"/>
                <w:sz w:val="18"/>
                <w:szCs w:val="18"/>
              </w:rPr>
            </w:pPr>
            <w:r w:rsidRPr="00363AFE">
              <w:rPr>
                <w:rFonts w:cs="Times New Roman"/>
                <w:b w:val="0"/>
                <w:color w:val="auto"/>
                <w:sz w:val="18"/>
                <w:szCs w:val="18"/>
              </w:rPr>
              <w:t>Remedial</w:t>
            </w:r>
          </w:p>
        </w:tc>
        <w:tc>
          <w:tcPr>
            <w:cnfStyle w:val="000100000000" w:firstRow="0" w:lastRow="0" w:firstColumn="0" w:lastColumn="1" w:oddVBand="0" w:evenVBand="0" w:oddHBand="0" w:evenHBand="0" w:firstRowFirstColumn="0" w:firstRowLastColumn="0" w:lastRowFirstColumn="0" w:lastRowLastColumn="0"/>
            <w:tcW w:w="6096" w:type="dxa"/>
          </w:tcPr>
          <w:p w14:paraId="3F825E1B" w14:textId="77777777" w:rsidR="00613CDB" w:rsidRDefault="00613CDB" w:rsidP="00613CDB">
            <w:pPr>
              <w:spacing w:before="113" w:line="240" w:lineRule="auto"/>
              <w:jc w:val="center"/>
              <w:rPr>
                <w:rFonts w:cs="Times New Roman"/>
                <w:color w:val="auto"/>
                <w:sz w:val="18"/>
                <w:szCs w:val="18"/>
              </w:rPr>
            </w:pPr>
            <w:r w:rsidRPr="005D1714">
              <w:rPr>
                <w:rFonts w:cs="Times New Roman"/>
                <w:color w:val="auto"/>
                <w:sz w:val="18"/>
                <w:szCs w:val="18"/>
              </w:rPr>
              <w:t>Non-standard</w:t>
            </w:r>
          </w:p>
          <w:p w14:paraId="076116F7" w14:textId="77777777" w:rsidR="00613CDB" w:rsidRPr="006B7C3A" w:rsidRDefault="00613CDB" w:rsidP="00613CDB">
            <w:pPr>
              <w:spacing w:before="113" w:line="240" w:lineRule="auto"/>
              <w:jc w:val="center"/>
              <w:rPr>
                <w:rFonts w:cs="Times New Roman"/>
                <w:b w:val="0"/>
                <w:color w:val="auto"/>
                <w:sz w:val="18"/>
                <w:szCs w:val="18"/>
              </w:rPr>
            </w:pPr>
            <w:r>
              <w:rPr>
                <w:rFonts w:cs="Times New Roman"/>
                <w:b w:val="0"/>
                <w:color w:val="auto"/>
                <w:sz w:val="18"/>
                <w:szCs w:val="18"/>
              </w:rPr>
              <w:t>Fully flexible, triggered by PAB</w:t>
            </w:r>
          </w:p>
        </w:tc>
      </w:tr>
    </w:tbl>
    <w:p w14:paraId="4102B5B3" w14:textId="77777777" w:rsidR="00BC2B8B" w:rsidRDefault="00BC2B8B" w:rsidP="00D2578D">
      <w:pPr>
        <w:pStyle w:val="BodyText"/>
      </w:pPr>
    </w:p>
    <w:p w14:paraId="20017476" w14:textId="77777777" w:rsidR="004E38BF" w:rsidRDefault="004E38BF" w:rsidP="004E38BF">
      <w:pPr>
        <w:pStyle w:val="BodyText"/>
      </w:pPr>
      <w:r w:rsidRPr="00436F76">
        <w:rPr>
          <w:b/>
          <w:color w:val="0090AB" w:themeColor="text2"/>
        </w:rPr>
        <w:t>Mandatory PATs</w:t>
      </w:r>
      <w:r>
        <w:t xml:space="preserve"> </w:t>
      </w:r>
      <w:r w:rsidR="00436F76">
        <w:t xml:space="preserve">- </w:t>
      </w:r>
      <w:r w:rsidR="0016599A">
        <w:t>T</w:t>
      </w:r>
      <w:r>
        <w:t>echniques which the PAB is required to deploy to a</w:t>
      </w:r>
      <w:r w:rsidR="00436F76">
        <w:t xml:space="preserve"> </w:t>
      </w:r>
      <w:r>
        <w:t>PAP because they are mandated by the BSC</w:t>
      </w:r>
      <w:r w:rsidR="00436F76">
        <w:t xml:space="preserve"> (e.g. Supplier Charges).</w:t>
      </w:r>
    </w:p>
    <w:p w14:paraId="72DDA3F0" w14:textId="3D9B02A0" w:rsidR="004E38BF" w:rsidRDefault="004E38BF" w:rsidP="004E38BF">
      <w:pPr>
        <w:pStyle w:val="BodyText"/>
      </w:pPr>
      <w:r w:rsidRPr="00436F76">
        <w:rPr>
          <w:b/>
          <w:color w:val="0090AB" w:themeColor="text2"/>
        </w:rPr>
        <w:t>Standard PATs</w:t>
      </w:r>
      <w:r>
        <w:t xml:space="preserve"> </w:t>
      </w:r>
      <w:r w:rsidR="00436F76">
        <w:t xml:space="preserve">- </w:t>
      </w:r>
      <w:r w:rsidR="0016599A">
        <w:t>D</w:t>
      </w:r>
      <w:r>
        <w:t xml:space="preserve">efault techniques, assigned to the relevant Settlement </w:t>
      </w:r>
      <w:r w:rsidR="00E37590">
        <w:t>Risk which</w:t>
      </w:r>
      <w:r>
        <w:t xml:space="preserve"> the PAB will </w:t>
      </w:r>
      <w:r w:rsidR="00436F76">
        <w:t xml:space="preserve">usually </w:t>
      </w:r>
      <w:r>
        <w:t>deploy</w:t>
      </w:r>
      <w:r w:rsidR="00436F76">
        <w:t xml:space="preserve"> </w:t>
      </w:r>
      <w:r>
        <w:t>uniformly across PAPs</w:t>
      </w:r>
      <w:r w:rsidR="00436F76">
        <w:t xml:space="preserve"> (e.g. Material Error Monitoring); any exceptions </w:t>
      </w:r>
      <w:r>
        <w:t xml:space="preserve">will be </w:t>
      </w:r>
      <w:r w:rsidR="00436F76">
        <w:t>described</w:t>
      </w:r>
      <w:r>
        <w:t xml:space="preserve"> in the ROP.</w:t>
      </w:r>
    </w:p>
    <w:p w14:paraId="3BE71C8F" w14:textId="77777777" w:rsidR="00342FB2" w:rsidRDefault="004E38BF" w:rsidP="004E38BF">
      <w:pPr>
        <w:pStyle w:val="BodyText"/>
      </w:pPr>
      <w:r w:rsidRPr="00436F76">
        <w:rPr>
          <w:b/>
          <w:color w:val="0090AB" w:themeColor="text2"/>
        </w:rPr>
        <w:t>Non-Standard PATs</w:t>
      </w:r>
      <w:r>
        <w:t xml:space="preserve"> </w:t>
      </w:r>
      <w:r w:rsidR="00436F76">
        <w:t xml:space="preserve">- </w:t>
      </w:r>
      <w:r w:rsidR="0016599A">
        <w:t>T</w:t>
      </w:r>
      <w:r>
        <w:t xml:space="preserve">echniques that the PAB may consider deploying to </w:t>
      </w:r>
      <w:r w:rsidR="00342FB2">
        <w:t>mitigate the Settlement Risks to meet the Target Impact</w:t>
      </w:r>
      <w:r>
        <w:t xml:space="preserve">. </w:t>
      </w:r>
      <w:r w:rsidR="00342FB2">
        <w:t xml:space="preserve"> </w:t>
      </w:r>
      <w:r>
        <w:t xml:space="preserve">Where the PAB deploys a Non-Standard PAT </w:t>
      </w:r>
      <w:r w:rsidR="00342FB2">
        <w:t>it will make a Risk Management Determination (RMD)</w:t>
      </w:r>
      <w:r>
        <w:t xml:space="preserve"> in line with BSC Section</w:t>
      </w:r>
      <w:r w:rsidR="00C82D7E">
        <w:t xml:space="preserve"> Z</w:t>
      </w:r>
      <w:r>
        <w:t xml:space="preserve"> </w:t>
      </w:r>
      <w:r w:rsidR="00342FB2">
        <w:t>5.7</w:t>
      </w:r>
      <w:r>
        <w:t xml:space="preserve">. </w:t>
      </w:r>
    </w:p>
    <w:p w14:paraId="2C3F62DB" w14:textId="77777777" w:rsidR="00212395" w:rsidRPr="00212395" w:rsidRDefault="00212395" w:rsidP="004E38BF">
      <w:pPr>
        <w:pStyle w:val="BodyText"/>
        <w:rPr>
          <w:b/>
          <w:color w:val="0090AB" w:themeColor="text2"/>
        </w:rPr>
      </w:pPr>
      <w:r w:rsidRPr="00212395">
        <w:rPr>
          <w:b/>
          <w:color w:val="0090AB" w:themeColor="text2"/>
        </w:rPr>
        <w:t>Other</w:t>
      </w:r>
      <w:r w:rsidR="00314315">
        <w:rPr>
          <w:b/>
          <w:color w:val="0090AB" w:themeColor="text2"/>
        </w:rPr>
        <w:t xml:space="preserve"> Assurance Activities</w:t>
      </w:r>
      <w:r>
        <w:t xml:space="preserve"> – In order for ELEXON to better understand a </w:t>
      </w:r>
      <w:r w:rsidR="00E13D19">
        <w:t xml:space="preserve">Settlement </w:t>
      </w:r>
      <w:r>
        <w:t xml:space="preserve">Risk, we carry out analysis and reporting to provide greater insight into the impact of a </w:t>
      </w:r>
      <w:r w:rsidR="00E13D19">
        <w:t xml:space="preserve">Settlement </w:t>
      </w:r>
      <w:r>
        <w:t xml:space="preserve">Risk. In addition, we may require further information from BSC </w:t>
      </w:r>
      <w:r w:rsidR="00E13D19">
        <w:t>P</w:t>
      </w:r>
      <w:r w:rsidR="00352898">
        <w:t>arties;</w:t>
      </w:r>
      <w:r>
        <w:t xml:space="preserve"> these will be requested via formal RFI (Request for Information) as required.</w:t>
      </w:r>
      <w:r>
        <w:rPr>
          <w:b/>
          <w:color w:val="0090AB" w:themeColor="text2"/>
        </w:rPr>
        <w:t xml:space="preserve"> </w:t>
      </w:r>
    </w:p>
    <w:p w14:paraId="16C03B49" w14:textId="77777777" w:rsidR="0018042E" w:rsidRDefault="0018042E" w:rsidP="002034E0">
      <w:pPr>
        <w:pStyle w:val="Boldheading"/>
      </w:pPr>
    </w:p>
    <w:p w14:paraId="67AF1D2F" w14:textId="77777777" w:rsidR="002034E0" w:rsidRDefault="002034E0" w:rsidP="002034E0">
      <w:pPr>
        <w:pStyle w:val="Boldheading"/>
      </w:pPr>
      <w:r>
        <w:t>Escalation</w:t>
      </w:r>
    </w:p>
    <w:p w14:paraId="43FF80B8" w14:textId="77777777" w:rsidR="002034E0" w:rsidRDefault="004E38BF" w:rsidP="00990236">
      <w:pPr>
        <w:pStyle w:val="BodyText"/>
        <w:sectPr w:rsidR="002034E0" w:rsidSect="00CD7F97">
          <w:headerReference w:type="default" r:id="rId28"/>
          <w:footerReference w:type="default" r:id="rId29"/>
          <w:headerReference w:type="first" r:id="rId30"/>
          <w:footerReference w:type="first" r:id="rId31"/>
          <w:pgSz w:w="11906" w:h="16838" w:code="9"/>
          <w:pgMar w:top="1162" w:right="794" w:bottom="1928" w:left="794" w:header="879" w:footer="539" w:gutter="0"/>
          <w:cols w:space="708"/>
          <w:titlePg/>
          <w:docGrid w:linePitch="360"/>
        </w:sectPr>
      </w:pPr>
      <w:r>
        <w:t xml:space="preserve">Where the PAB observes significant failures </w:t>
      </w:r>
      <w:r w:rsidR="00254CE6">
        <w:t xml:space="preserve">by a </w:t>
      </w:r>
      <w:r w:rsidR="00592C8A">
        <w:t>PAP</w:t>
      </w:r>
      <w:r w:rsidR="00254CE6">
        <w:t xml:space="preserve"> </w:t>
      </w:r>
      <w:r>
        <w:t xml:space="preserve">over </w:t>
      </w:r>
      <w:r w:rsidR="00254CE6">
        <w:t>one or more Settlement R</w:t>
      </w:r>
      <w:r>
        <w:t xml:space="preserve">isk, </w:t>
      </w:r>
      <w:r w:rsidR="00592C8A">
        <w:t xml:space="preserve">and </w:t>
      </w:r>
      <w:r w:rsidR="000B6054">
        <w:t xml:space="preserve">has exhausted </w:t>
      </w:r>
      <w:r w:rsidR="000B6054" w:rsidRPr="000B6054">
        <w:t xml:space="preserve">all escalation steps within </w:t>
      </w:r>
      <w:r w:rsidR="000B6054">
        <w:t>the</w:t>
      </w:r>
      <w:r w:rsidR="000B6054" w:rsidRPr="000B6054">
        <w:t xml:space="preserve"> Error and Failure Resolution (EFR) </w:t>
      </w:r>
      <w:r w:rsidR="000B6054">
        <w:t>process (</w:t>
      </w:r>
      <w:r w:rsidR="000B6054" w:rsidRPr="000B6054">
        <w:t>BSCP</w:t>
      </w:r>
      <w:r w:rsidR="002034E0">
        <w:t xml:space="preserve"> </w:t>
      </w:r>
      <w:r w:rsidR="000B6054" w:rsidRPr="000B6054">
        <w:t>538</w:t>
      </w:r>
      <w:r w:rsidR="002034E0">
        <w:rPr>
          <w:rStyle w:val="FootnoteReference"/>
        </w:rPr>
        <w:footnoteReference w:id="5"/>
      </w:r>
      <w:r w:rsidR="000B6054">
        <w:t>)</w:t>
      </w:r>
      <w:r w:rsidR="000B6054" w:rsidRPr="000B6054">
        <w:t xml:space="preserve"> </w:t>
      </w:r>
      <w:r w:rsidR="000B6054">
        <w:t xml:space="preserve">without sufficient improvement, </w:t>
      </w:r>
      <w:r>
        <w:t xml:space="preserve">it </w:t>
      </w:r>
      <w:r w:rsidR="00254CE6">
        <w:t xml:space="preserve">may consider </w:t>
      </w:r>
      <w:r w:rsidR="00592C8A">
        <w:t>initiating</w:t>
      </w:r>
      <w:r w:rsidR="00254CE6">
        <w:t xml:space="preserve"> </w:t>
      </w:r>
      <w:r>
        <w:t>Breach</w:t>
      </w:r>
      <w:r w:rsidR="00342FB2">
        <w:t xml:space="preserve"> </w:t>
      </w:r>
      <w:r>
        <w:t xml:space="preserve">and Default </w:t>
      </w:r>
      <w:r w:rsidR="000B6054">
        <w:t xml:space="preserve">(for BSC Parties) </w:t>
      </w:r>
      <w:r w:rsidR="00254CE6">
        <w:t>or</w:t>
      </w:r>
      <w:r>
        <w:t xml:space="preserve"> Removal of Qualification</w:t>
      </w:r>
      <w:r w:rsidR="00E901D4">
        <w:t xml:space="preserve"> (for Party Agents)</w:t>
      </w:r>
    </w:p>
    <w:p w14:paraId="3BF9FB38" w14:textId="77777777" w:rsidR="00BC2B8B" w:rsidRDefault="00BC2B8B" w:rsidP="00BC2B8B">
      <w:pPr>
        <w:pStyle w:val="Sectionheading"/>
      </w:pPr>
      <w:bookmarkStart w:id="15" w:name="_Toc35421318"/>
      <w:r>
        <w:t>planned performance assurance technique</w:t>
      </w:r>
      <w:r w:rsidR="0018042E" w:rsidRPr="0018042E">
        <w:t xml:space="preserve"> </w:t>
      </w:r>
      <w:r w:rsidR="0018042E">
        <w:t>deployment</w:t>
      </w:r>
      <w:bookmarkEnd w:id="15"/>
    </w:p>
    <w:p w14:paraId="00276E29" w14:textId="1ECF7559" w:rsidR="002344E5" w:rsidRDefault="002344E5" w:rsidP="002344E5">
      <w:pPr>
        <w:pStyle w:val="BodyText"/>
      </w:pPr>
      <w:r>
        <w:t xml:space="preserve">This section describes planned deployment of the PATs in </w:t>
      </w:r>
      <w:r w:rsidR="00E37590">
        <w:t>2020/2021</w:t>
      </w:r>
      <w:r>
        <w:t xml:space="preserve"> to meet the Target Impacts for the risks being prioritised this year (those with the highest Impact score or otherwise determined to be in focus).  For full details of planned PAT deployment, refer to the accompanying ledger </w:t>
      </w:r>
      <w:hyperlink r:id="rId32" w:history="1">
        <w:r w:rsidR="000A4208" w:rsidRPr="000A4208">
          <w:rPr>
            <w:rStyle w:val="Hyperlink"/>
          </w:rPr>
          <w:t>[</w:t>
        </w:r>
        <w:r w:rsidRPr="000A4208">
          <w:rPr>
            <w:rStyle w:val="Hyperlink"/>
          </w:rPr>
          <w:t>link</w:t>
        </w:r>
        <w:r w:rsidR="000A4208" w:rsidRPr="000A4208">
          <w:rPr>
            <w:rStyle w:val="Hyperlink"/>
          </w:rPr>
          <w:t>]</w:t>
        </w:r>
      </w:hyperlink>
      <w:r>
        <w:t>.</w:t>
      </w:r>
    </w:p>
    <w:p w14:paraId="03B9D412" w14:textId="77777777" w:rsidR="00121E31" w:rsidRDefault="00121E31" w:rsidP="00912411">
      <w:pPr>
        <w:pStyle w:val="Boldheading"/>
      </w:pPr>
      <w:r>
        <w:t>PAT deployment</w:t>
      </w:r>
    </w:p>
    <w:p w14:paraId="0B095A5C" w14:textId="77777777" w:rsidR="00D2578D" w:rsidRDefault="00EA4EE3" w:rsidP="008C4C39">
      <w:pPr>
        <w:pStyle w:val="BodyText"/>
      </w:pPr>
      <w:r>
        <w:t xml:space="preserve">A few PATs </w:t>
      </w:r>
      <w:r w:rsidR="0012464B">
        <w:t>must</w:t>
      </w:r>
      <w:r>
        <w:t xml:space="preserve"> be de</w:t>
      </w:r>
      <w:r w:rsidR="0012464B">
        <w:t>ployed</w:t>
      </w:r>
      <w:r>
        <w:t xml:space="preserve"> as per the BSC provisions</w:t>
      </w:r>
      <w:r w:rsidR="00DE7F34">
        <w:t xml:space="preserve"> </w:t>
      </w:r>
      <w:r w:rsidR="007D2FB5">
        <w:t xml:space="preserve">such as Performance Monitoring and Reporting </w:t>
      </w:r>
      <w:r w:rsidR="000E69AC">
        <w:t xml:space="preserve">(PARMS) </w:t>
      </w:r>
      <w:r w:rsidR="007D2FB5">
        <w:t xml:space="preserve">and Supplier </w:t>
      </w:r>
      <w:r w:rsidR="00352898">
        <w:t>Charges</w:t>
      </w:r>
      <w:r w:rsidR="0012464B">
        <w:t>.</w:t>
      </w:r>
      <w:r>
        <w:t xml:space="preserve"> </w:t>
      </w:r>
      <w:r w:rsidR="0012464B">
        <w:t>H</w:t>
      </w:r>
      <w:r>
        <w:t>owever most can be deployed</w:t>
      </w:r>
      <w:r w:rsidR="007D2FB5">
        <w:t xml:space="preserve"> flexibly</w:t>
      </w:r>
      <w:r>
        <w:t xml:space="preserve"> by t</w:t>
      </w:r>
      <w:r w:rsidR="00D2578D" w:rsidRPr="008C1994">
        <w:t xml:space="preserve">he PAB on a case-by-case basis. </w:t>
      </w:r>
    </w:p>
    <w:p w14:paraId="00DC3688" w14:textId="77777777" w:rsidR="00A718D1" w:rsidRDefault="00A718D1" w:rsidP="008C4C39">
      <w:pPr>
        <w:pStyle w:val="BodyText"/>
      </w:pPr>
      <w:r>
        <w:t xml:space="preserve">For instance, the PAB can </w:t>
      </w:r>
      <w:r w:rsidR="002034E0">
        <w:t xml:space="preserve">propose new </w:t>
      </w:r>
      <w:r>
        <w:t xml:space="preserve">questions to the </w:t>
      </w:r>
      <w:r w:rsidR="00352898">
        <w:t>Self-Assessment</w:t>
      </w:r>
      <w:r>
        <w:t xml:space="preserve"> Document</w:t>
      </w:r>
      <w:r w:rsidR="00592C8A">
        <w:rPr>
          <w:rStyle w:val="FootnoteReference"/>
        </w:rPr>
        <w:footnoteReference w:id="6"/>
      </w:r>
      <w:r>
        <w:t xml:space="preserve"> for Qualification applicants as a preventative action for Settlement Risks.  Audits such as </w:t>
      </w:r>
      <w:r w:rsidR="002034E0">
        <w:t>Technical Assurance of Metering (</w:t>
      </w:r>
      <w:r>
        <w:t>TAM</w:t>
      </w:r>
      <w:r w:rsidR="002034E0">
        <w:t>)</w:t>
      </w:r>
      <w:r>
        <w:t xml:space="preserve"> inspections, </w:t>
      </w:r>
      <w:r w:rsidR="002034E0">
        <w:t>Technical Assurance of Performance Assurance Parties (</w:t>
      </w:r>
      <w:r>
        <w:t>TAPAP</w:t>
      </w:r>
      <w:r w:rsidR="002034E0">
        <w:t>)</w:t>
      </w:r>
      <w:r>
        <w:t xml:space="preserve"> checks or the BSC Audit can be deployed against individual PAPs or </w:t>
      </w:r>
      <w:r w:rsidR="002034E0">
        <w:t xml:space="preserve">risk </w:t>
      </w:r>
      <w:r>
        <w:t>areas (e.g. types of Metering System or specific processes).</w:t>
      </w:r>
    </w:p>
    <w:p w14:paraId="1B24A80F" w14:textId="77777777" w:rsidR="00121E31" w:rsidRDefault="00121E31" w:rsidP="00912411">
      <w:pPr>
        <w:pStyle w:val="Boldheading"/>
      </w:pPr>
      <w:r>
        <w:t>Planned analysis</w:t>
      </w:r>
    </w:p>
    <w:p w14:paraId="684FFC76" w14:textId="77777777" w:rsidR="00352898" w:rsidRDefault="00352898" w:rsidP="00AA7C35">
      <w:pPr>
        <w:pStyle w:val="BodyText"/>
      </w:pPr>
      <w:r>
        <w:t xml:space="preserve">In accordance with our revised approach to </w:t>
      </w:r>
      <w:r w:rsidR="003E3FCC">
        <w:t>r</w:t>
      </w:r>
      <w:r>
        <w:t xml:space="preserve">isk </w:t>
      </w:r>
      <w:r w:rsidR="003E3FCC">
        <w:t>m</w:t>
      </w:r>
      <w:r>
        <w:t xml:space="preserve">itigation, some elements of our plan may require us to establish a more comprehensive understanding of a </w:t>
      </w:r>
      <w:r w:rsidR="00725AB0">
        <w:t>Settlement R</w:t>
      </w:r>
      <w:r>
        <w:t xml:space="preserve">isk. This may be achieved via analysis and reporting, either using existing or new data sources. In order to provide clarity on this, we have included any actions such as this within our focussed risks </w:t>
      </w:r>
      <w:r w:rsidR="003D7102">
        <w:t>described on pages 11 -18</w:t>
      </w:r>
      <w:r>
        <w:t xml:space="preserve"> and in the ROP Ledger.</w:t>
      </w:r>
    </w:p>
    <w:p w14:paraId="5F95209E" w14:textId="77777777" w:rsidR="00121E31" w:rsidRDefault="00121E31" w:rsidP="00912411">
      <w:pPr>
        <w:pStyle w:val="Boldheading"/>
      </w:pPr>
      <w:r>
        <w:t>Target Impact and Volatility</w:t>
      </w:r>
    </w:p>
    <w:p w14:paraId="771140DC" w14:textId="77777777" w:rsidR="009421CF" w:rsidRDefault="009421CF" w:rsidP="00AA7C35">
      <w:pPr>
        <w:pStyle w:val="BodyText"/>
      </w:pPr>
      <w:r>
        <w:t xml:space="preserve">In setting the Target Impact </w:t>
      </w:r>
      <w:r w:rsidR="00121E31">
        <w:t xml:space="preserve">and Volatility </w:t>
      </w:r>
      <w:r>
        <w:t>values, we have estimated the level of improvement we could see over the year.  This is a</w:t>
      </w:r>
      <w:r w:rsidR="00121E31">
        <w:t xml:space="preserve"> </w:t>
      </w:r>
      <w:r>
        <w:t>forecast value</w:t>
      </w:r>
      <w:r w:rsidR="00121E31">
        <w:t xml:space="preserve"> that we believe is achievable.  However, </w:t>
      </w:r>
      <w:r>
        <w:t xml:space="preserve">there will be various factors outside of PAT deployment that could affect it – many of the </w:t>
      </w:r>
      <w:r w:rsidR="00A23025">
        <w:t>Settlement R</w:t>
      </w:r>
      <w:r>
        <w:t>isks are primarily influenced by party actions, which the PAF can only incentivise and report on rather than directly control.</w:t>
      </w:r>
    </w:p>
    <w:p w14:paraId="6BF2349A" w14:textId="77777777" w:rsidR="009269A3" w:rsidRDefault="009269A3" w:rsidP="00AA7C35">
      <w:pPr>
        <w:pStyle w:val="BodyText"/>
      </w:pPr>
    </w:p>
    <w:p w14:paraId="45D8DB60" w14:textId="77777777" w:rsidR="009269A3" w:rsidRPr="000D7476" w:rsidRDefault="009269A3" w:rsidP="003710E8">
      <w:pPr>
        <w:pStyle w:val="Boldheading"/>
      </w:pPr>
      <w:r w:rsidRPr="000D7476">
        <w:t xml:space="preserve">Future changes </w:t>
      </w:r>
    </w:p>
    <w:p w14:paraId="2B64CD37" w14:textId="77777777" w:rsidR="009269A3" w:rsidRDefault="009269A3" w:rsidP="009269A3">
      <w:pPr>
        <w:pStyle w:val="BodyText"/>
      </w:pPr>
      <w:r>
        <w:t xml:space="preserve">All Settlement Risks will be periodically reviewed, to a schedule or in response to an ad hoc trigger including on direction of the PAB. The review will be performed by ELEXON, considering all aspects of each Settlement Risk, including risk indicator data, parties’ performance against the risk, existing mitigation and external factors which may require the risk impact to be adjusted or for our approach to the risk to change. </w:t>
      </w:r>
    </w:p>
    <w:p w14:paraId="55217A91" w14:textId="77777777" w:rsidR="009269A3" w:rsidRDefault="009269A3" w:rsidP="009269A3">
      <w:pPr>
        <w:pStyle w:val="BodyText"/>
      </w:pPr>
      <w:r>
        <w:t xml:space="preserve">If ELEXON identifies any change that should be made to the risks in the RER or the PAT deployment in the ROP, the proposal will be presented to the PAB to approve.  If the changes are material, the PAB will carry out a consultation with stakeholders.  The changes may result in amended deployment of techniques to PAPs, via Risk Management Determinations.  </w:t>
      </w:r>
    </w:p>
    <w:p w14:paraId="0067E060" w14:textId="77777777" w:rsidR="009269A3" w:rsidRDefault="009269A3" w:rsidP="00AA7C35">
      <w:pPr>
        <w:pStyle w:val="BodyText"/>
      </w:pPr>
    </w:p>
    <w:p w14:paraId="2C17723B" w14:textId="77777777" w:rsidR="00AA7C35" w:rsidRDefault="00AA7C35" w:rsidP="00AA7C35">
      <w:pPr>
        <w:pStyle w:val="BodyText"/>
      </w:pPr>
    </w:p>
    <w:p w14:paraId="1A86137C" w14:textId="77777777" w:rsidR="00AA7C35" w:rsidRDefault="00AA7C35" w:rsidP="00A44A16">
      <w:pPr>
        <w:pStyle w:val="Heading"/>
      </w:pPr>
    </w:p>
    <w:p w14:paraId="24A639F1" w14:textId="77777777" w:rsidR="00990236" w:rsidRPr="00990236" w:rsidRDefault="00990236" w:rsidP="00990236">
      <w:pPr>
        <w:pStyle w:val="BodyText"/>
        <w:sectPr w:rsidR="00990236" w:rsidRPr="00990236" w:rsidSect="008B7EF6">
          <w:pgSz w:w="11906" w:h="16838" w:code="9"/>
          <w:pgMar w:top="1162" w:right="794" w:bottom="1928" w:left="794" w:header="879" w:footer="539" w:gutter="0"/>
          <w:cols w:space="708"/>
          <w:titlePg/>
          <w:docGrid w:linePitch="360"/>
        </w:sectPr>
      </w:pPr>
    </w:p>
    <w:p w14:paraId="18098761" w14:textId="77777777" w:rsidR="00EF6E06" w:rsidRDefault="003710E8" w:rsidP="003710E8">
      <w:pPr>
        <w:pStyle w:val="Heading"/>
      </w:pPr>
      <w:bookmarkStart w:id="16" w:name="_Toc35421319"/>
      <w:r>
        <w:t xml:space="preserve">Risk Operating Plan for </w:t>
      </w:r>
      <w:r w:rsidR="00594D96">
        <w:t>focussed</w:t>
      </w:r>
      <w:r w:rsidR="00D318B1">
        <w:t xml:space="preserve"> risks</w:t>
      </w:r>
      <w:bookmarkEnd w:id="16"/>
    </w:p>
    <w:p w14:paraId="409B49E3" w14:textId="77777777" w:rsidR="00E31B75" w:rsidRDefault="00E31B75" w:rsidP="00E31B75">
      <w:pPr>
        <w:pStyle w:val="BodyText"/>
      </w:pPr>
    </w:p>
    <w:p w14:paraId="206E6567" w14:textId="77777777" w:rsidR="00E31B75" w:rsidRPr="000A5589" w:rsidRDefault="00E31B75" w:rsidP="00E31B75">
      <w:pPr>
        <w:pStyle w:val="BodyText"/>
        <w:rPr>
          <w:b/>
        </w:rPr>
      </w:pPr>
      <w:r w:rsidRPr="000A5589">
        <w:rPr>
          <w:b/>
        </w:rPr>
        <w:t xml:space="preserve">Risk 003 </w:t>
      </w:r>
      <w:r w:rsidR="000A5589" w:rsidRPr="000A5589">
        <w:rPr>
          <w:b/>
        </w:rPr>
        <w:t>–</w:t>
      </w:r>
      <w:r w:rsidRPr="000A5589">
        <w:rPr>
          <w:b/>
        </w:rPr>
        <w:t xml:space="preserve"> </w:t>
      </w:r>
      <w:r w:rsidR="000A5589" w:rsidRPr="000A5589">
        <w:rPr>
          <w:b/>
        </w:rPr>
        <w:t>The risk that SVA Metering Equipment is installed, programmed or maintained incorrectly including where Commissioning is performed incorrectly or not at all</w:t>
      </w:r>
    </w:p>
    <w:p w14:paraId="4634F563" w14:textId="77777777" w:rsidR="001959E8" w:rsidRDefault="001959E8" w:rsidP="003710E8">
      <w:pPr>
        <w:pStyle w:val="Heading"/>
      </w:pPr>
    </w:p>
    <w:p w14:paraId="78B6B00D" w14:textId="77777777" w:rsidR="00515941" w:rsidRDefault="000A5589" w:rsidP="001A705C">
      <w:pPr>
        <w:pStyle w:val="BodyText"/>
      </w:pPr>
      <w:r>
        <w:t>Risk Impact - £45m (£43m 2019/20)</w:t>
      </w:r>
    </w:p>
    <w:p w14:paraId="138CE1CE" w14:textId="77777777" w:rsidR="000A5589" w:rsidRDefault="000A5589" w:rsidP="001A705C">
      <w:pPr>
        <w:pStyle w:val="BodyText"/>
      </w:pPr>
      <w:r>
        <w:t>Risk Volatility – High (Unchanged)</w:t>
      </w:r>
    </w:p>
    <w:p w14:paraId="1EBF51B6" w14:textId="77777777" w:rsidR="000A5589" w:rsidRDefault="000A5589" w:rsidP="001A705C">
      <w:pPr>
        <w:pStyle w:val="BodyText"/>
      </w:pPr>
      <w:r>
        <w:t>Target Impact - £</w:t>
      </w:r>
      <w:r w:rsidR="00B938EF">
        <w:t>42.9</w:t>
      </w:r>
      <w:r>
        <w:t>m</w:t>
      </w:r>
    </w:p>
    <w:p w14:paraId="2CAE7D99" w14:textId="77777777" w:rsidR="000A5589" w:rsidRDefault="000A5589" w:rsidP="001A705C">
      <w:pPr>
        <w:pStyle w:val="BodyText"/>
      </w:pPr>
    </w:p>
    <w:p w14:paraId="3D151F30" w14:textId="743A4079" w:rsidR="000A5589" w:rsidRDefault="000A5589" w:rsidP="001A705C">
      <w:pPr>
        <w:pStyle w:val="BodyText"/>
      </w:pPr>
      <w:r>
        <w:t>The increase in impact for this risk is due to</w:t>
      </w:r>
      <w:r w:rsidR="008747FC">
        <w:t xml:space="preserve"> increases in failure rates for Measurement </w:t>
      </w:r>
      <w:r w:rsidR="00770A25">
        <w:t>C</w:t>
      </w:r>
      <w:r w:rsidR="008747FC">
        <w:t>lass C meters</w:t>
      </w:r>
      <w:r w:rsidR="001522AA">
        <w:t xml:space="preserve"> identified via the Technical Assurance of Metering (TAM) audit</w:t>
      </w:r>
      <w:r w:rsidR="008747FC">
        <w:t>. The increase in impact is also driven by a better understanding of the number of days</w:t>
      </w:r>
      <w:r w:rsidR="001522AA">
        <w:t xml:space="preserve"> that</w:t>
      </w:r>
      <w:r w:rsidR="008747FC">
        <w:t xml:space="preserve"> failures impact</w:t>
      </w:r>
      <w:r w:rsidR="001522AA">
        <w:t xml:space="preserve"> settlement</w:t>
      </w:r>
      <w:r w:rsidR="008747FC">
        <w:t xml:space="preserve"> for, which in our previous assessment, was understated.</w:t>
      </w:r>
    </w:p>
    <w:p w14:paraId="6E5A4EA6" w14:textId="77777777" w:rsidR="000A5589" w:rsidRDefault="000A5589" w:rsidP="001A705C">
      <w:pPr>
        <w:pStyle w:val="BodyText"/>
      </w:pPr>
      <w:r>
        <w:t>There has been a</w:t>
      </w:r>
      <w:r w:rsidR="008747FC">
        <w:t xml:space="preserve">nd continues to be a </w:t>
      </w:r>
      <w:r>
        <w:t xml:space="preserve">wide range of technique deployment against this risk, including EFR, Education, </w:t>
      </w:r>
      <w:r w:rsidR="00FE29CC">
        <w:t>Trading Disputes, Change and additional analysis and monitoring, yet we have been unable to sufficiently mitigate this risk or reduce the volatility within it</w:t>
      </w:r>
      <w:r w:rsidR="008747FC">
        <w:t xml:space="preserve">, as yet. With this in mind, Risk 003 remains a focus for </w:t>
      </w:r>
      <w:r w:rsidR="009B442D">
        <w:t>ELEXON</w:t>
      </w:r>
      <w:r w:rsidR="008747FC">
        <w:t xml:space="preserve"> in the coming year.</w:t>
      </w:r>
    </w:p>
    <w:p w14:paraId="19882AD2" w14:textId="77777777" w:rsidR="008747FC" w:rsidRDefault="008747FC" w:rsidP="008747FC">
      <w:pPr>
        <w:pStyle w:val="BodyText"/>
      </w:pPr>
    </w:p>
    <w:p w14:paraId="17DF7F27" w14:textId="77777777" w:rsidR="008747FC" w:rsidRDefault="008747FC" w:rsidP="008747FC">
      <w:pPr>
        <w:pStyle w:val="BodyText"/>
      </w:pPr>
      <w:r>
        <w:t>There is scope to maintain the impact of this risk, via the following actions</w:t>
      </w:r>
    </w:p>
    <w:p w14:paraId="741DABDE" w14:textId="4AE67FF1" w:rsidR="006B7304" w:rsidRDefault="006B7304" w:rsidP="006B7304">
      <w:pPr>
        <w:pStyle w:val="ListBullet"/>
      </w:pPr>
      <w:r>
        <w:t>U</w:t>
      </w:r>
      <w:r w:rsidR="0044047E">
        <w:t>sing the change process to review</w:t>
      </w:r>
      <w:r>
        <w:t xml:space="preserve"> Code of Practice No.4 (CoP4) </w:t>
      </w:r>
      <w:r w:rsidR="0044047E">
        <w:t xml:space="preserve">section 5.5 </w:t>
      </w:r>
      <w:r>
        <w:t>and provide clear instruction that will reduce confusion among BSC Parties by providing clear indication of expected responsibilities and obligations for Commissioning under the BSC</w:t>
      </w:r>
      <w:r w:rsidR="009F4D82">
        <w:t>;</w:t>
      </w:r>
    </w:p>
    <w:p w14:paraId="31576666" w14:textId="77777777" w:rsidR="002C0637" w:rsidRDefault="008747FC" w:rsidP="002C0637">
      <w:pPr>
        <w:pStyle w:val="ListBullet"/>
      </w:pPr>
      <w:r>
        <w:t xml:space="preserve">Improved escalation of </w:t>
      </w:r>
      <w:r w:rsidR="002C0637">
        <w:t xml:space="preserve">long outstanding </w:t>
      </w:r>
      <w:r>
        <w:t>Cat</w:t>
      </w:r>
      <w:r w:rsidR="002C0637">
        <w:t>egory</w:t>
      </w:r>
      <w:r>
        <w:t xml:space="preserve"> 1 Non Compliances identified within the Technical Assurance of Meter process. The Risk Owner is </w:t>
      </w:r>
      <w:r w:rsidRPr="00B938EF">
        <w:t xml:space="preserve">co-ordinating </w:t>
      </w:r>
      <w:r>
        <w:t>escalation</w:t>
      </w:r>
      <w:r w:rsidR="002C0637">
        <w:t xml:space="preserve"> </w:t>
      </w:r>
      <w:r w:rsidRPr="00B938EF">
        <w:t>activities for affected parties</w:t>
      </w:r>
      <w:r w:rsidR="009F4D82">
        <w:t>;</w:t>
      </w:r>
    </w:p>
    <w:p w14:paraId="01002F8D" w14:textId="77777777" w:rsidR="002C0637" w:rsidRDefault="002C0637" w:rsidP="002C0637">
      <w:pPr>
        <w:pStyle w:val="ListBullet"/>
      </w:pPr>
      <w:r>
        <w:t>Improved assessment of poor performers against this risk, via the Risk 003 Report, which provides the Risk Owner with granular details of the impact of poor performers on individual parties and the market as a whole</w:t>
      </w:r>
      <w:r w:rsidR="009F4D82">
        <w:t>.</w:t>
      </w:r>
    </w:p>
    <w:p w14:paraId="7F2CD530" w14:textId="77777777" w:rsidR="002C0637" w:rsidRDefault="002C0637" w:rsidP="002C0637">
      <w:pPr>
        <w:pStyle w:val="ListBullet"/>
        <w:numPr>
          <w:ilvl w:val="0"/>
          <w:numId w:val="0"/>
        </w:numPr>
        <w:ind w:left="1021"/>
      </w:pPr>
    </w:p>
    <w:p w14:paraId="75FB8FA4" w14:textId="77777777" w:rsidR="000517EC" w:rsidRDefault="00B87B2E" w:rsidP="00E901D4">
      <w:pPr>
        <w:pStyle w:val="Boldheading"/>
      </w:pPr>
      <w:r>
        <w:t>Ongoing</w:t>
      </w:r>
      <w:r w:rsidR="00426F3B">
        <w:t xml:space="preserve"> PAT Deployment</w:t>
      </w:r>
    </w:p>
    <w:p w14:paraId="4EC28009" w14:textId="77777777" w:rsidR="00426F3B" w:rsidRDefault="00426F3B" w:rsidP="00426F3B">
      <w:pPr>
        <w:pStyle w:val="BodyText"/>
      </w:pPr>
      <w:r>
        <w:t>BSC Audit</w:t>
      </w:r>
    </w:p>
    <w:p w14:paraId="16B6C40C" w14:textId="77777777" w:rsidR="00426F3B" w:rsidRDefault="00426F3B" w:rsidP="00426F3B">
      <w:pPr>
        <w:pStyle w:val="BodyText"/>
      </w:pPr>
      <w:r>
        <w:t>Error and Failure Resolution</w:t>
      </w:r>
    </w:p>
    <w:p w14:paraId="7C8BAD9D" w14:textId="77777777" w:rsidR="00426F3B" w:rsidRDefault="00426F3B" w:rsidP="00426F3B">
      <w:pPr>
        <w:pStyle w:val="BodyText"/>
      </w:pPr>
      <w:r>
        <w:t>Technical Assurance of Metering</w:t>
      </w:r>
    </w:p>
    <w:p w14:paraId="15905527" w14:textId="77777777" w:rsidR="003A4EED" w:rsidRDefault="003A4EED" w:rsidP="00E901D4">
      <w:pPr>
        <w:pStyle w:val="Boldheading"/>
      </w:pPr>
      <w:r w:rsidRPr="003A4EED">
        <w:t>Planned additional deployment</w:t>
      </w:r>
    </w:p>
    <w:p w14:paraId="5D1F690C" w14:textId="77777777" w:rsidR="00355CDF" w:rsidRDefault="002C0637" w:rsidP="00355CDF">
      <w:pPr>
        <w:pStyle w:val="BodyText"/>
      </w:pPr>
      <w:r>
        <w:t xml:space="preserve">Change </w:t>
      </w:r>
    </w:p>
    <w:p w14:paraId="190DCDD3" w14:textId="77777777" w:rsidR="00355CDF" w:rsidRDefault="002C0637" w:rsidP="00355CDF">
      <w:pPr>
        <w:pStyle w:val="BodyText"/>
      </w:pPr>
      <w:r>
        <w:t>Analysis</w:t>
      </w:r>
    </w:p>
    <w:p w14:paraId="419DD0AC" w14:textId="77777777" w:rsidR="00355CDF" w:rsidRDefault="00355CDF" w:rsidP="00355CDF">
      <w:pPr>
        <w:pStyle w:val="BodyText"/>
      </w:pPr>
    </w:p>
    <w:p w14:paraId="5E5B3917" w14:textId="77777777" w:rsidR="00355CDF" w:rsidRDefault="00355CDF" w:rsidP="00355CDF">
      <w:pPr>
        <w:pStyle w:val="BodyText"/>
      </w:pPr>
    </w:p>
    <w:p w14:paraId="6CAA02B1" w14:textId="77777777" w:rsidR="00355CDF" w:rsidRDefault="00355CDF" w:rsidP="00355CDF">
      <w:pPr>
        <w:pStyle w:val="BodyText"/>
      </w:pPr>
    </w:p>
    <w:p w14:paraId="51362A40" w14:textId="77777777" w:rsidR="00355CDF" w:rsidRDefault="00355CDF" w:rsidP="00355CDF">
      <w:pPr>
        <w:pStyle w:val="BodyText"/>
      </w:pPr>
    </w:p>
    <w:p w14:paraId="25FFAD19" w14:textId="77777777" w:rsidR="00426F3B" w:rsidRPr="000A5589" w:rsidRDefault="00426F3B" w:rsidP="00426F3B">
      <w:pPr>
        <w:pStyle w:val="BodyText"/>
        <w:rPr>
          <w:b/>
        </w:rPr>
      </w:pPr>
      <w:r w:rsidRPr="000A5589">
        <w:rPr>
          <w:b/>
        </w:rPr>
        <w:t>Ri</w:t>
      </w:r>
      <w:r w:rsidR="003A4EED">
        <w:rPr>
          <w:b/>
        </w:rPr>
        <w:t>sk 005</w:t>
      </w:r>
      <w:r w:rsidRPr="000A5589">
        <w:rPr>
          <w:b/>
        </w:rPr>
        <w:t xml:space="preserve"> – The risk that </w:t>
      </w:r>
      <w:r w:rsidR="003A4EED">
        <w:rPr>
          <w:b/>
        </w:rPr>
        <w:t>a</w:t>
      </w:r>
      <w:r w:rsidR="003A4EED" w:rsidRPr="003A4EED">
        <w:rPr>
          <w:b/>
        </w:rPr>
        <w:t xml:space="preserve"> fault with SVA Metering Equipment is not resolved, such that metered data is recorded incorrectly or cannot be retrieved</w:t>
      </w:r>
    </w:p>
    <w:p w14:paraId="5CA0555F" w14:textId="77777777" w:rsidR="00A25E8C" w:rsidRDefault="00A25E8C" w:rsidP="003A4EED">
      <w:pPr>
        <w:pStyle w:val="BodyText"/>
      </w:pPr>
    </w:p>
    <w:p w14:paraId="0DF80DAF" w14:textId="77777777" w:rsidR="003A4EED" w:rsidRDefault="003A4EED" w:rsidP="003A4EED">
      <w:pPr>
        <w:pStyle w:val="BodyText"/>
      </w:pPr>
      <w:r>
        <w:t>Risk Impact - £30m (£36m 2019/20)</w:t>
      </w:r>
    </w:p>
    <w:p w14:paraId="0031A2D5" w14:textId="77777777" w:rsidR="003A4EED" w:rsidRDefault="003A4EED" w:rsidP="003A4EED">
      <w:pPr>
        <w:pStyle w:val="BodyText"/>
      </w:pPr>
      <w:r>
        <w:t>Risk Volatility – Medium (Unchanged)</w:t>
      </w:r>
    </w:p>
    <w:p w14:paraId="0B4077F6" w14:textId="77777777" w:rsidR="003A4EED" w:rsidRDefault="003A4EED" w:rsidP="003A4EED">
      <w:pPr>
        <w:pStyle w:val="BodyText"/>
      </w:pPr>
      <w:r>
        <w:t>Target Impact - £</w:t>
      </w:r>
      <w:r w:rsidR="00B938EF">
        <w:t>30</w:t>
      </w:r>
      <w:r>
        <w:t>m</w:t>
      </w:r>
    </w:p>
    <w:p w14:paraId="4346BCC9" w14:textId="77777777" w:rsidR="00AF4D47" w:rsidRPr="00AF4D47" w:rsidRDefault="00AF4D47" w:rsidP="00AF4D47">
      <w:pPr>
        <w:pStyle w:val="BodyText"/>
      </w:pPr>
    </w:p>
    <w:p w14:paraId="0BC53784" w14:textId="5F801EF6" w:rsidR="00C82D99" w:rsidRDefault="00C82D99" w:rsidP="00C82D99">
      <w:pPr>
        <w:pStyle w:val="BodyText"/>
      </w:pPr>
      <w:r>
        <w:rPr>
          <w:rFonts w:cs="Calibri"/>
          <w:color w:val="000000"/>
          <w:lang w:eastAsia="en-GB"/>
        </w:rPr>
        <w:t>Risk</w:t>
      </w:r>
      <w:r w:rsidR="00A25E8C">
        <w:rPr>
          <w:rFonts w:cs="Calibri"/>
          <w:color w:val="000000"/>
          <w:lang w:eastAsia="en-GB"/>
        </w:rPr>
        <w:t xml:space="preserve"> 005</w:t>
      </w:r>
      <w:r>
        <w:rPr>
          <w:rFonts w:cs="Calibri"/>
          <w:color w:val="000000"/>
          <w:lang w:eastAsia="en-GB"/>
        </w:rPr>
        <w:t xml:space="preserve"> has seen a 16.75% decrease </w:t>
      </w:r>
      <w:r w:rsidR="00A25E8C">
        <w:rPr>
          <w:rFonts w:cs="Calibri"/>
          <w:color w:val="000000"/>
          <w:lang w:eastAsia="en-GB"/>
        </w:rPr>
        <w:t>in impact during the</w:t>
      </w:r>
      <w:r>
        <w:rPr>
          <w:rFonts w:cs="Calibri"/>
          <w:color w:val="000000"/>
          <w:lang w:eastAsia="en-GB"/>
        </w:rPr>
        <w:t xml:space="preserve"> last year. </w:t>
      </w:r>
      <w:r>
        <w:t>The reduction in impact for this risk is due to a 6% reduction in the number of faults occurring, although</w:t>
      </w:r>
      <w:r w:rsidR="00B807BE">
        <w:t xml:space="preserve"> we have seen</w:t>
      </w:r>
      <w:r>
        <w:t xml:space="preserve"> a 40% increase in the days impacted by faults.</w:t>
      </w:r>
    </w:p>
    <w:p w14:paraId="27EF789B" w14:textId="77777777" w:rsidR="00B938EF" w:rsidRDefault="00B938EF" w:rsidP="00B938EF">
      <w:pPr>
        <w:pStyle w:val="BodyText"/>
      </w:pPr>
      <w:r>
        <w:t>There is scope to maintain the impact of this risk, via the following actions</w:t>
      </w:r>
      <w:r w:rsidR="009F4D82">
        <w:t>:</w:t>
      </w:r>
    </w:p>
    <w:p w14:paraId="28F287E2" w14:textId="77777777" w:rsidR="00C82D99" w:rsidRPr="00B938EF" w:rsidRDefault="00C82D99" w:rsidP="00B938EF">
      <w:pPr>
        <w:pStyle w:val="ListBullet"/>
      </w:pPr>
      <w:r w:rsidRPr="00B938EF">
        <w:t xml:space="preserve">The risk of communication faults is likely to increase significant over the next year as the deterioration of the 2G network increases. </w:t>
      </w:r>
      <w:r w:rsidR="00B938EF">
        <w:t>We are specifically targeting this area of the market</w:t>
      </w:r>
      <w:r w:rsidR="009F4D82">
        <w:t>;</w:t>
      </w:r>
    </w:p>
    <w:p w14:paraId="7B53BE11" w14:textId="6D0C8C49" w:rsidR="00B938EF" w:rsidRDefault="00B807BE" w:rsidP="00B938EF">
      <w:pPr>
        <w:pStyle w:val="ListBullet"/>
      </w:pPr>
      <w:r>
        <w:t>The Risk O</w:t>
      </w:r>
      <w:r w:rsidR="00C82D99" w:rsidRPr="00B938EF">
        <w:t>wner will seek to continue to develop the recommendations of the Fault Investigation Review Group (FIRG) into beneficial and cost effective changes</w:t>
      </w:r>
      <w:r w:rsidR="00B938EF">
        <w:t xml:space="preserve"> supported by industry</w:t>
      </w:r>
      <w:r w:rsidR="009F4D82">
        <w:t>;</w:t>
      </w:r>
    </w:p>
    <w:p w14:paraId="56AF91A1" w14:textId="77777777" w:rsidR="00B938EF" w:rsidRDefault="00C82D99" w:rsidP="00B938EF">
      <w:pPr>
        <w:pStyle w:val="ListBullet"/>
      </w:pPr>
      <w:r w:rsidRPr="00B938EF">
        <w:t xml:space="preserve">The Risk Owner </w:t>
      </w:r>
      <w:r w:rsidR="00A25E8C" w:rsidRPr="00B938EF">
        <w:t xml:space="preserve">and Technical Assurance of Metering (TAM) technique owner </w:t>
      </w:r>
      <w:r w:rsidR="00B938EF">
        <w:t xml:space="preserve">will continue to develop involvement in the management of </w:t>
      </w:r>
      <w:r w:rsidRPr="00B938EF">
        <w:t>TAA Cat</w:t>
      </w:r>
      <w:r w:rsidR="00A25E8C" w:rsidRPr="00B938EF">
        <w:t xml:space="preserve">egory 1 non-compliances and co-ordinating activities for </w:t>
      </w:r>
      <w:r w:rsidRPr="00B938EF">
        <w:t>affected parties. This has already seen a pos</w:t>
      </w:r>
      <w:r w:rsidR="00A25E8C" w:rsidRPr="00B938EF">
        <w:t>i</w:t>
      </w:r>
      <w:r w:rsidRPr="00B938EF">
        <w:t xml:space="preserve">tive response in </w:t>
      </w:r>
      <w:r w:rsidR="00A25E8C" w:rsidRPr="00B938EF">
        <w:t>progressing the</w:t>
      </w:r>
      <w:r w:rsidRPr="00B938EF">
        <w:t xml:space="preserve"> resolution of Cat</w:t>
      </w:r>
      <w:r w:rsidR="00A25E8C" w:rsidRPr="00B938EF">
        <w:t>egory</w:t>
      </w:r>
      <w:r w:rsidRPr="00B938EF">
        <w:t xml:space="preserve"> 1 non-compl</w:t>
      </w:r>
      <w:r w:rsidR="00B938EF">
        <w:t>iances</w:t>
      </w:r>
      <w:r w:rsidR="009F4D82">
        <w:t>;</w:t>
      </w:r>
    </w:p>
    <w:p w14:paraId="2872A648" w14:textId="77777777" w:rsidR="003A4EED" w:rsidRDefault="00A25E8C" w:rsidP="00B938EF">
      <w:pPr>
        <w:pStyle w:val="ListBullet"/>
      </w:pPr>
      <w:r w:rsidRPr="00B938EF">
        <w:t>Finally, t</w:t>
      </w:r>
      <w:r w:rsidR="003A4EED">
        <w:t xml:space="preserve">here is scope to further reduce the impact of this risk, by utilising new text mining software to better categorize and identify fault root causes. </w:t>
      </w:r>
    </w:p>
    <w:p w14:paraId="5161D4FF" w14:textId="77777777" w:rsidR="002C0637" w:rsidRPr="00B938EF" w:rsidRDefault="002C0637" w:rsidP="002C0637">
      <w:pPr>
        <w:pStyle w:val="ListBullet"/>
        <w:numPr>
          <w:ilvl w:val="0"/>
          <w:numId w:val="0"/>
        </w:numPr>
        <w:ind w:left="1021"/>
      </w:pPr>
    </w:p>
    <w:p w14:paraId="3135275C" w14:textId="77777777" w:rsidR="003A4EED" w:rsidRDefault="00B87B2E" w:rsidP="00E901D4">
      <w:pPr>
        <w:pStyle w:val="Boldheading"/>
      </w:pPr>
      <w:r>
        <w:t xml:space="preserve">Ongoing </w:t>
      </w:r>
      <w:r w:rsidR="003A4EED">
        <w:t>PAT Deployment</w:t>
      </w:r>
    </w:p>
    <w:p w14:paraId="5F33BD67" w14:textId="77777777" w:rsidR="003A4EED" w:rsidRDefault="003A4EED" w:rsidP="003A4EED">
      <w:pPr>
        <w:pStyle w:val="BodyText"/>
      </w:pPr>
      <w:r>
        <w:t>BSC Audit</w:t>
      </w:r>
    </w:p>
    <w:p w14:paraId="5EF5EF1C" w14:textId="77777777" w:rsidR="003A4EED" w:rsidRDefault="003A4EED" w:rsidP="003A4EED">
      <w:pPr>
        <w:pStyle w:val="BodyText"/>
      </w:pPr>
      <w:r>
        <w:t>Technical Assurance of Metering</w:t>
      </w:r>
    </w:p>
    <w:p w14:paraId="1BE2E515" w14:textId="77777777" w:rsidR="00355CDF" w:rsidRDefault="00355CDF" w:rsidP="003A4EED">
      <w:pPr>
        <w:pStyle w:val="BodyText"/>
      </w:pPr>
      <w:r>
        <w:t>Change</w:t>
      </w:r>
    </w:p>
    <w:p w14:paraId="6A7B1D49" w14:textId="77777777" w:rsidR="003A4EED" w:rsidRDefault="003A4EED" w:rsidP="00E901D4">
      <w:pPr>
        <w:pStyle w:val="Boldheading"/>
      </w:pPr>
      <w:r w:rsidRPr="003A4EED">
        <w:t>Planned additional deployment</w:t>
      </w:r>
    </w:p>
    <w:p w14:paraId="101F5E60" w14:textId="77777777" w:rsidR="005F0648" w:rsidRDefault="00A25E8C" w:rsidP="00B83762">
      <w:pPr>
        <w:pStyle w:val="BodyText"/>
      </w:pPr>
      <w:r>
        <w:t>Analysis</w:t>
      </w:r>
    </w:p>
    <w:p w14:paraId="1E744F16" w14:textId="77777777" w:rsidR="00A25E8C" w:rsidRPr="005F0648" w:rsidRDefault="00A25E8C" w:rsidP="00B83762">
      <w:pPr>
        <w:pStyle w:val="BodyText"/>
      </w:pPr>
      <w:r>
        <w:t>Education</w:t>
      </w:r>
    </w:p>
    <w:p w14:paraId="6F0ABA08" w14:textId="77777777" w:rsidR="00E01D96" w:rsidRDefault="00E01D96" w:rsidP="008B7EF6">
      <w:pPr>
        <w:pStyle w:val="BodyText"/>
      </w:pPr>
    </w:p>
    <w:p w14:paraId="098FCA35" w14:textId="77777777" w:rsidR="00E01D96" w:rsidRDefault="00E01D96" w:rsidP="008B7EF6">
      <w:pPr>
        <w:pStyle w:val="BodyText"/>
      </w:pPr>
    </w:p>
    <w:p w14:paraId="6C4D0C1F" w14:textId="77777777" w:rsidR="00E01D96" w:rsidRDefault="00E01D96" w:rsidP="008B7EF6">
      <w:pPr>
        <w:pStyle w:val="BodyText"/>
      </w:pPr>
    </w:p>
    <w:p w14:paraId="62D6FC4B" w14:textId="77777777" w:rsidR="008C0B2D" w:rsidRDefault="008C0B2D" w:rsidP="008B7EF6">
      <w:pPr>
        <w:pStyle w:val="BodyText"/>
      </w:pPr>
    </w:p>
    <w:p w14:paraId="6C99ACF9" w14:textId="77777777" w:rsidR="008C0B2D" w:rsidRDefault="008C0B2D" w:rsidP="008B7EF6">
      <w:pPr>
        <w:pStyle w:val="BodyText"/>
      </w:pPr>
    </w:p>
    <w:p w14:paraId="5E8DC397" w14:textId="77777777" w:rsidR="008C0B2D" w:rsidRDefault="008C0B2D" w:rsidP="008B7EF6">
      <w:pPr>
        <w:pStyle w:val="BodyText"/>
      </w:pPr>
    </w:p>
    <w:p w14:paraId="7F9570DC" w14:textId="77777777" w:rsidR="008C0B2D" w:rsidRDefault="008C0B2D" w:rsidP="008B7EF6">
      <w:pPr>
        <w:pStyle w:val="BodyText"/>
      </w:pPr>
    </w:p>
    <w:p w14:paraId="2317B58A" w14:textId="77777777" w:rsidR="00355CDF" w:rsidRPr="000A5589" w:rsidRDefault="00355CDF" w:rsidP="00355CDF">
      <w:pPr>
        <w:pStyle w:val="BodyText"/>
        <w:rPr>
          <w:b/>
        </w:rPr>
      </w:pPr>
      <w:r w:rsidRPr="000A5589">
        <w:rPr>
          <w:b/>
        </w:rPr>
        <w:t>Ri</w:t>
      </w:r>
      <w:r w:rsidR="00203FAC">
        <w:rPr>
          <w:b/>
        </w:rPr>
        <w:t>sk 007</w:t>
      </w:r>
      <w:r w:rsidRPr="000A5589">
        <w:rPr>
          <w:b/>
        </w:rPr>
        <w:t xml:space="preserve"> – The risk that </w:t>
      </w:r>
      <w:r w:rsidR="00203FAC" w:rsidRPr="00203FAC">
        <w:rPr>
          <w:b/>
        </w:rPr>
        <w:t>SVA metered data is not retrieved, such that the proportion of estimated data being used in Settlement contributes to performance standards not being met</w:t>
      </w:r>
    </w:p>
    <w:p w14:paraId="5F9C2E4C" w14:textId="77777777" w:rsidR="001959E8" w:rsidRDefault="001959E8" w:rsidP="00355CDF">
      <w:pPr>
        <w:pStyle w:val="BodyText"/>
      </w:pPr>
    </w:p>
    <w:p w14:paraId="05A8F82C" w14:textId="77777777" w:rsidR="00355CDF" w:rsidRDefault="00355CDF" w:rsidP="00355CDF">
      <w:pPr>
        <w:pStyle w:val="BodyText"/>
      </w:pPr>
      <w:r>
        <w:t>Risk Impact - £</w:t>
      </w:r>
      <w:r w:rsidR="00203FAC">
        <w:t>11.8</w:t>
      </w:r>
      <w:r>
        <w:t>m (</w:t>
      </w:r>
      <w:r w:rsidR="00203FAC">
        <w:t>£2</w:t>
      </w:r>
      <w:r>
        <w:t>6</w:t>
      </w:r>
      <w:r w:rsidR="00203FAC">
        <w:t>.8</w:t>
      </w:r>
      <w:r>
        <w:t>m 2019/20)</w:t>
      </w:r>
    </w:p>
    <w:p w14:paraId="3E456C4D" w14:textId="77777777" w:rsidR="00355CDF" w:rsidRDefault="00355CDF" w:rsidP="00355CDF">
      <w:pPr>
        <w:pStyle w:val="BodyText"/>
      </w:pPr>
      <w:r>
        <w:t>Risk Volatility – Medium (</w:t>
      </w:r>
      <w:r w:rsidR="00203FAC">
        <w:t>High in 2019/20</w:t>
      </w:r>
      <w:r>
        <w:t>)</w:t>
      </w:r>
    </w:p>
    <w:p w14:paraId="0858A848" w14:textId="77777777" w:rsidR="00355CDF" w:rsidRDefault="00355CDF" w:rsidP="00355CDF">
      <w:pPr>
        <w:pStyle w:val="BodyText"/>
      </w:pPr>
      <w:r>
        <w:t>Target Impact - £</w:t>
      </w:r>
      <w:r w:rsidR="00203FAC">
        <w:t>11.8</w:t>
      </w:r>
      <w:r>
        <w:t>m</w:t>
      </w:r>
    </w:p>
    <w:p w14:paraId="4C3C919F" w14:textId="77777777" w:rsidR="00355CDF" w:rsidRPr="00AF4D47" w:rsidRDefault="00355CDF" w:rsidP="00355CDF">
      <w:pPr>
        <w:pStyle w:val="BodyText"/>
      </w:pPr>
    </w:p>
    <w:p w14:paraId="4AAB54D5" w14:textId="77777777" w:rsidR="00F26C74" w:rsidRDefault="00355CDF" w:rsidP="00F26C74">
      <w:pPr>
        <w:pStyle w:val="BodyText"/>
      </w:pPr>
      <w:r>
        <w:t>The reduction in impact for this risk is due to</w:t>
      </w:r>
      <w:r w:rsidR="00203FAC">
        <w:t xml:space="preserve"> a reduction in overall volumes in NHH and HH markets, improved performance across the Sub 100kw market and ongoing mitigations and controls applied to this risk</w:t>
      </w:r>
    </w:p>
    <w:p w14:paraId="29E24194" w14:textId="77777777" w:rsidR="00F26C74" w:rsidRDefault="00355CDF" w:rsidP="00F26C74">
      <w:pPr>
        <w:pStyle w:val="BodyText"/>
      </w:pPr>
      <w:r>
        <w:t xml:space="preserve">There is scope to </w:t>
      </w:r>
      <w:r w:rsidR="00203FAC">
        <w:t>maintain</w:t>
      </w:r>
      <w:r>
        <w:t xml:space="preserve"> the impact of this risk,</w:t>
      </w:r>
      <w:r w:rsidR="00F26C74">
        <w:t xml:space="preserve"> via the following actions</w:t>
      </w:r>
      <w:r w:rsidR="004722BA">
        <w:t>:</w:t>
      </w:r>
    </w:p>
    <w:p w14:paraId="67FA8834" w14:textId="77777777" w:rsidR="00203FAC" w:rsidRPr="00F26C74" w:rsidRDefault="00F26C74" w:rsidP="00F26C74">
      <w:pPr>
        <w:pStyle w:val="ListBullet"/>
      </w:pPr>
      <w:r>
        <w:t>Earlier identification</w:t>
      </w:r>
      <w:r w:rsidR="00203FAC" w:rsidRPr="00F26C74">
        <w:t xml:space="preserve"> of issues at earlier runs in NHH performance</w:t>
      </w:r>
      <w:r>
        <w:t xml:space="preserve"> (via Risk Report)</w:t>
      </w:r>
      <w:r w:rsidR="00203FAC" w:rsidRPr="00F26C74">
        <w:t xml:space="preserve"> should improve issues impacting risk </w:t>
      </w:r>
      <w:r>
        <w:t>00</w:t>
      </w:r>
      <w:r w:rsidR="00203FAC" w:rsidRPr="00F26C74">
        <w:t xml:space="preserve">7 and </w:t>
      </w:r>
      <w:r>
        <w:t>00</w:t>
      </w:r>
      <w:r w:rsidR="00203FAC" w:rsidRPr="00F26C74">
        <w:t>8</w:t>
      </w:r>
      <w:r w:rsidR="004722BA">
        <w:t>;</w:t>
      </w:r>
    </w:p>
    <w:p w14:paraId="11483100" w14:textId="77777777" w:rsidR="00203FAC" w:rsidRPr="00F26C74" w:rsidRDefault="00203FAC" w:rsidP="00F26C74">
      <w:pPr>
        <w:pStyle w:val="ListBullet"/>
      </w:pPr>
      <w:r w:rsidRPr="00F26C74">
        <w:t>Performance improvements for E,F and G will slow but EFR will be applied in April</w:t>
      </w:r>
      <w:r w:rsidR="00F26C74">
        <w:t xml:space="preserve"> 20</w:t>
      </w:r>
      <w:r w:rsidRPr="00F26C74">
        <w:t>20 to largest impacting Suppliers to help encourage further improvements in this area and applied to biggest impacting Suppliers NHH and HH MC C</w:t>
      </w:r>
      <w:r w:rsidR="004722BA">
        <w:t>;</w:t>
      </w:r>
    </w:p>
    <w:p w14:paraId="198C7504" w14:textId="77777777" w:rsidR="00203FAC" w:rsidRPr="00F26C74" w:rsidRDefault="00203FAC" w:rsidP="00F26C74">
      <w:pPr>
        <w:pStyle w:val="ListBullet"/>
      </w:pPr>
      <w:r w:rsidRPr="00F26C74">
        <w:t>H</w:t>
      </w:r>
      <w:r w:rsidR="00F26C74">
        <w:t>H Guidance (published March 2020)</w:t>
      </w:r>
      <w:r w:rsidRPr="00F26C74">
        <w:t xml:space="preserve"> and NHH guidance updates with learnings from Risk 7 TAPAP</w:t>
      </w:r>
      <w:r w:rsidR="00F26C74">
        <w:t xml:space="preserve"> will further support party performance for this risk</w:t>
      </w:r>
      <w:r w:rsidR="004722BA">
        <w:t>;</w:t>
      </w:r>
    </w:p>
    <w:p w14:paraId="3C71CDC8" w14:textId="77777777" w:rsidR="00203FAC" w:rsidRPr="00F26C74" w:rsidRDefault="00F26C74" w:rsidP="00F26C74">
      <w:pPr>
        <w:pStyle w:val="ListBullet"/>
      </w:pPr>
      <w:r>
        <w:t>B</w:t>
      </w:r>
      <w:r w:rsidR="00203FAC" w:rsidRPr="00F26C74">
        <w:t xml:space="preserve">uild analysis of oldest NHH sites with no reads to understand </w:t>
      </w:r>
      <w:r>
        <w:t>nature</w:t>
      </w:r>
      <w:r w:rsidR="00203FAC" w:rsidRPr="00F26C74">
        <w:t xml:space="preserve"> of sites that do</w:t>
      </w:r>
      <w:r>
        <w:t xml:space="preserve"> not have reads for a long time and the</w:t>
      </w:r>
      <w:r w:rsidR="00203FAC" w:rsidRPr="00F26C74">
        <w:t xml:space="preserve"> issues associated</w:t>
      </w:r>
      <w:r>
        <w:t xml:space="preserve">. </w:t>
      </w:r>
      <w:r w:rsidR="00203FAC" w:rsidRPr="00F26C74">
        <w:t xml:space="preserve">This can </w:t>
      </w:r>
      <w:r>
        <w:t>be incorporated into guidance documentation and enable</w:t>
      </w:r>
      <w:r w:rsidR="00203FAC" w:rsidRPr="00F26C74">
        <w:t xml:space="preserve"> organisations such as OFWAT, OFGEM etc</w:t>
      </w:r>
      <w:r>
        <w:t xml:space="preserve"> to better understand the challenges faced</w:t>
      </w:r>
      <w:r w:rsidR="004722BA">
        <w:t>;</w:t>
      </w:r>
    </w:p>
    <w:p w14:paraId="74F03563" w14:textId="77777777" w:rsidR="00203FAC" w:rsidRPr="00F26C74" w:rsidRDefault="00203FAC" w:rsidP="00F26C74">
      <w:pPr>
        <w:pStyle w:val="ListBullet"/>
      </w:pPr>
      <w:r w:rsidRPr="00F26C74">
        <w:t>Review impact of Coronavirus in 20/21 Q1 on risk</w:t>
      </w:r>
      <w:r w:rsidR="00DB7601">
        <w:t xml:space="preserve"> 007</w:t>
      </w:r>
      <w:r w:rsidRPr="00F26C74">
        <w:t xml:space="preserve"> and if there are any mitigations at all that can be app</w:t>
      </w:r>
      <w:r w:rsidR="00DB7601">
        <w:t>lied</w:t>
      </w:r>
      <w:r w:rsidR="009F4D82">
        <w:t>.</w:t>
      </w:r>
    </w:p>
    <w:p w14:paraId="3E3D1EF6" w14:textId="77777777" w:rsidR="00355CDF" w:rsidRDefault="00355CDF" w:rsidP="00355CDF">
      <w:pPr>
        <w:pStyle w:val="BodyText"/>
      </w:pPr>
    </w:p>
    <w:p w14:paraId="49D990EB" w14:textId="77777777" w:rsidR="00355CDF" w:rsidRDefault="002C0637" w:rsidP="00E901D4">
      <w:pPr>
        <w:pStyle w:val="Boldheading"/>
      </w:pPr>
      <w:r>
        <w:t>Ongoing</w:t>
      </w:r>
      <w:r w:rsidR="00355CDF">
        <w:t xml:space="preserve"> PAT Deployment</w:t>
      </w:r>
    </w:p>
    <w:p w14:paraId="3A996123" w14:textId="77777777" w:rsidR="00355CDF" w:rsidRDefault="00DB7601" w:rsidP="00355CDF">
      <w:pPr>
        <w:pStyle w:val="BodyText"/>
      </w:pPr>
      <w:r>
        <w:t>EFR</w:t>
      </w:r>
    </w:p>
    <w:p w14:paraId="2930466C" w14:textId="77777777" w:rsidR="00355CDF" w:rsidRDefault="00DB7601" w:rsidP="00355CDF">
      <w:pPr>
        <w:pStyle w:val="BodyText"/>
      </w:pPr>
      <w:r>
        <w:t>BSC Audit</w:t>
      </w:r>
    </w:p>
    <w:p w14:paraId="3C0A5462" w14:textId="77777777" w:rsidR="00355CDF" w:rsidRDefault="00355CDF" w:rsidP="00E901D4">
      <w:pPr>
        <w:pStyle w:val="Boldheading"/>
      </w:pPr>
      <w:r w:rsidRPr="003A4EED">
        <w:t>Planned additional deployment</w:t>
      </w:r>
    </w:p>
    <w:p w14:paraId="73540173" w14:textId="77777777" w:rsidR="00990236" w:rsidRDefault="00DB7601" w:rsidP="00DB7601">
      <w:pPr>
        <w:pStyle w:val="BodyText"/>
      </w:pPr>
      <w:r>
        <w:t>Education</w:t>
      </w:r>
    </w:p>
    <w:p w14:paraId="78C88E69" w14:textId="77777777" w:rsidR="00DB7601" w:rsidRDefault="00DB7601" w:rsidP="00DB7601">
      <w:pPr>
        <w:pStyle w:val="BodyText"/>
      </w:pPr>
      <w:r>
        <w:t>Analysis</w:t>
      </w:r>
    </w:p>
    <w:p w14:paraId="410C593E" w14:textId="77777777" w:rsidR="00DB7601" w:rsidRPr="00DB7601" w:rsidRDefault="00DB7601" w:rsidP="00DB7601">
      <w:pPr>
        <w:pStyle w:val="BodyText"/>
      </w:pPr>
    </w:p>
    <w:p w14:paraId="11C8662F" w14:textId="77777777" w:rsidR="00990236" w:rsidRDefault="00990236" w:rsidP="007E0BB2">
      <w:pPr>
        <w:pStyle w:val="Heading"/>
      </w:pPr>
    </w:p>
    <w:p w14:paraId="5004D790" w14:textId="77777777" w:rsidR="00990236" w:rsidRDefault="00990236" w:rsidP="007E0BB2">
      <w:pPr>
        <w:pStyle w:val="Heading"/>
      </w:pPr>
    </w:p>
    <w:p w14:paraId="64CE9BE2" w14:textId="77777777" w:rsidR="00990236" w:rsidRDefault="00990236" w:rsidP="007E0BB2">
      <w:pPr>
        <w:pStyle w:val="Heading"/>
      </w:pPr>
    </w:p>
    <w:p w14:paraId="653F0E82" w14:textId="77777777" w:rsidR="00E901D4" w:rsidRDefault="00E901D4" w:rsidP="00E901D4">
      <w:pPr>
        <w:pStyle w:val="BodyText"/>
      </w:pPr>
    </w:p>
    <w:p w14:paraId="3F1C7029" w14:textId="77777777" w:rsidR="00E901D4" w:rsidRPr="00E901D4" w:rsidRDefault="00E901D4" w:rsidP="00E901D4">
      <w:pPr>
        <w:pStyle w:val="BodyText"/>
      </w:pPr>
    </w:p>
    <w:p w14:paraId="4107B40E" w14:textId="77777777" w:rsidR="00990236" w:rsidRDefault="00990236" w:rsidP="007E0BB2">
      <w:pPr>
        <w:pStyle w:val="Heading"/>
      </w:pPr>
    </w:p>
    <w:p w14:paraId="5F934AC9" w14:textId="77777777" w:rsidR="00DB7601" w:rsidRDefault="00DB7601" w:rsidP="00DB7601">
      <w:pPr>
        <w:pStyle w:val="BodyText"/>
        <w:rPr>
          <w:b/>
        </w:rPr>
      </w:pPr>
      <w:r w:rsidRPr="000A5589">
        <w:rPr>
          <w:b/>
        </w:rPr>
        <w:t>Ri</w:t>
      </w:r>
      <w:r w:rsidR="000239E8">
        <w:rPr>
          <w:b/>
        </w:rPr>
        <w:t>sk 012</w:t>
      </w:r>
      <w:r w:rsidRPr="000A5589">
        <w:rPr>
          <w:b/>
        </w:rPr>
        <w:t xml:space="preserve"> – The risk that </w:t>
      </w:r>
      <w:r w:rsidR="00A74E6C" w:rsidRPr="00A74E6C">
        <w:rPr>
          <w:b/>
        </w:rPr>
        <w:t xml:space="preserve">SVA Metering System </w:t>
      </w:r>
      <w:r w:rsidR="004722BA">
        <w:rPr>
          <w:b/>
        </w:rPr>
        <w:t>T</w:t>
      </w:r>
      <w:r w:rsidR="00A74E6C" w:rsidRPr="00A74E6C">
        <w:rPr>
          <w:b/>
        </w:rPr>
        <w:t xml:space="preserve">echnical </w:t>
      </w:r>
      <w:r w:rsidR="004722BA">
        <w:rPr>
          <w:b/>
        </w:rPr>
        <w:t>D</w:t>
      </w:r>
      <w:r w:rsidR="00A74E6C" w:rsidRPr="00A74E6C">
        <w:rPr>
          <w:b/>
        </w:rPr>
        <w:t xml:space="preserve">etails </w:t>
      </w:r>
      <w:r w:rsidR="00AE70AB">
        <w:rPr>
          <w:b/>
        </w:rPr>
        <w:t>(MTDs)</w:t>
      </w:r>
      <w:r w:rsidR="00A74E6C" w:rsidRPr="00A74E6C">
        <w:rPr>
          <w:b/>
        </w:rPr>
        <w:t>are created incorrectly</w:t>
      </w:r>
    </w:p>
    <w:p w14:paraId="30A8E8B9" w14:textId="77777777" w:rsidR="00A74E6C" w:rsidRPr="000A5589" w:rsidRDefault="00A74E6C" w:rsidP="00DB7601">
      <w:pPr>
        <w:pStyle w:val="BodyText"/>
        <w:rPr>
          <w:b/>
        </w:rPr>
      </w:pPr>
    </w:p>
    <w:p w14:paraId="5AF4C3AB" w14:textId="77777777" w:rsidR="00DB7601" w:rsidRDefault="00A74E6C" w:rsidP="00DB7601">
      <w:pPr>
        <w:pStyle w:val="BodyText"/>
      </w:pPr>
      <w:r>
        <w:t>Risk Impact - £6.1m (£6.2</w:t>
      </w:r>
      <w:r w:rsidR="00DB7601">
        <w:t>m 2019/20)</w:t>
      </w:r>
    </w:p>
    <w:p w14:paraId="7B035561" w14:textId="77777777" w:rsidR="00DB7601" w:rsidRDefault="00A74E6C" w:rsidP="00DB7601">
      <w:pPr>
        <w:pStyle w:val="BodyText"/>
      </w:pPr>
      <w:r>
        <w:t>Risk Volatility – Medium (Medium</w:t>
      </w:r>
      <w:r w:rsidR="00DB7601">
        <w:t xml:space="preserve"> in 2019/20)</w:t>
      </w:r>
    </w:p>
    <w:p w14:paraId="49EF5769" w14:textId="77777777" w:rsidR="00DB7601" w:rsidRDefault="00A74E6C" w:rsidP="00DB7601">
      <w:pPr>
        <w:pStyle w:val="BodyText"/>
      </w:pPr>
      <w:r>
        <w:t>Target Impact - £5.9</w:t>
      </w:r>
      <w:r w:rsidR="00DB7601">
        <w:t>m</w:t>
      </w:r>
    </w:p>
    <w:p w14:paraId="7DF923A5" w14:textId="77777777" w:rsidR="00DB7601" w:rsidRDefault="00DB7601" w:rsidP="00DB7601">
      <w:pPr>
        <w:pStyle w:val="BodyText"/>
      </w:pPr>
    </w:p>
    <w:p w14:paraId="59D95C3D" w14:textId="68725EF9" w:rsidR="00A74E6C" w:rsidRPr="00AF4D47" w:rsidRDefault="00A74E6C" w:rsidP="00DB7601">
      <w:pPr>
        <w:pStyle w:val="BodyText"/>
      </w:pPr>
      <w:r>
        <w:t>This risk has been selected for focus as it has been identified within qualitative research, to be a risk of some concern to BSC parties. F</w:t>
      </w:r>
      <w:r w:rsidR="00CD4755">
        <w:t xml:space="preserve">urthermore, there has been discussion during </w:t>
      </w:r>
      <w:r w:rsidR="003F70B3">
        <w:t xml:space="preserve">recent </w:t>
      </w:r>
      <w:r w:rsidR="00CD4755">
        <w:t>PAB meetings regarding the effectiveness and utilisation of the D0215 dataflow, which is captured as a Risk Factor for Risk 012.</w:t>
      </w:r>
    </w:p>
    <w:p w14:paraId="02B46E33" w14:textId="77777777" w:rsidR="00A74E6C" w:rsidRDefault="00A74E6C" w:rsidP="00DB7601">
      <w:pPr>
        <w:pStyle w:val="BodyText"/>
        <w:rPr>
          <w:rFonts w:cs="Calibri"/>
          <w:color w:val="000000"/>
          <w:lang w:eastAsia="en-GB"/>
        </w:rPr>
      </w:pPr>
      <w:r>
        <w:rPr>
          <w:rFonts w:cs="Calibri"/>
          <w:color w:val="000000"/>
          <w:lang w:eastAsia="en-GB"/>
        </w:rPr>
        <w:t xml:space="preserve">The Target impact (of approximately 3% decrease in materiality) is based on a targeted 3% decrease around failure rate for HH market (both Measurement Class C and sub 100 kW). </w:t>
      </w:r>
    </w:p>
    <w:p w14:paraId="5EF44C6E" w14:textId="77777777" w:rsidR="00DB7601" w:rsidRDefault="00A74E6C" w:rsidP="00DB7601">
      <w:pPr>
        <w:pStyle w:val="BodyText"/>
      </w:pPr>
      <w:r>
        <w:t>There is scope to reduce</w:t>
      </w:r>
      <w:r w:rsidR="00DB7601">
        <w:t xml:space="preserve"> the impact of this risk, via the following actions</w:t>
      </w:r>
    </w:p>
    <w:p w14:paraId="5D24F0C0" w14:textId="77777777" w:rsidR="009E3EA1" w:rsidRDefault="009E3EA1" w:rsidP="009E3EA1">
      <w:pPr>
        <w:pStyle w:val="ListBullet"/>
      </w:pPr>
      <w:r w:rsidRPr="009E3EA1">
        <w:t>Risk Owner to host a webinar on Risk 004 with a focus on D0215 quality.</w:t>
      </w:r>
      <w:r>
        <w:t>  Inviting LDSOs in particular and parties with</w:t>
      </w:r>
      <w:r w:rsidRPr="009E3EA1">
        <w:t xml:space="preserve"> high volumes </w:t>
      </w:r>
      <w:r>
        <w:t xml:space="preserve">of missing or erroneous D0215s </w:t>
      </w:r>
      <w:r w:rsidRPr="009E3EA1">
        <w:t>to highlight the importance of the D0215 flow and the impacts of missing or erroneous D0215s</w:t>
      </w:r>
      <w:r w:rsidR="004722BA">
        <w:t>;</w:t>
      </w:r>
    </w:p>
    <w:p w14:paraId="6D34EFF5" w14:textId="1FAC9645" w:rsidR="009E3EA1" w:rsidRPr="009E3EA1" w:rsidRDefault="009E3EA1" w:rsidP="009E3EA1">
      <w:pPr>
        <w:pStyle w:val="ListBullet"/>
      </w:pPr>
      <w:r>
        <w:rPr>
          <w:color w:val="000000"/>
        </w:rPr>
        <w:t>Investigate a</w:t>
      </w:r>
      <w:r w:rsidR="003F70B3">
        <w:rPr>
          <w:color w:val="000000"/>
        </w:rPr>
        <w:t>nd identify potential material S</w:t>
      </w:r>
      <w:r>
        <w:rPr>
          <w:color w:val="000000"/>
        </w:rPr>
        <w:t>ettlement impact off the back of poor quality/missing D0215s</w:t>
      </w:r>
      <w:r w:rsidR="004722BA">
        <w:rPr>
          <w:color w:val="000000"/>
        </w:rPr>
        <w:t>;</w:t>
      </w:r>
    </w:p>
    <w:p w14:paraId="22E66DA9" w14:textId="77777777" w:rsidR="009E3EA1" w:rsidRPr="009E3EA1" w:rsidRDefault="009E3EA1" w:rsidP="009E3EA1">
      <w:pPr>
        <w:pStyle w:val="ListBullet"/>
      </w:pPr>
      <w:r>
        <w:rPr>
          <w:color w:val="000000"/>
        </w:rPr>
        <w:t>A review of material Trading Disputes which have been raised due to incorrect CT/VT ratios and the D0215 details issued in those instances in order to identify whether missing/erroneous D0215 data may have been the root cause</w:t>
      </w:r>
      <w:r w:rsidR="004722BA">
        <w:rPr>
          <w:color w:val="000000"/>
        </w:rPr>
        <w:t>;</w:t>
      </w:r>
    </w:p>
    <w:p w14:paraId="7D09B658" w14:textId="77777777" w:rsidR="009E3EA1" w:rsidRPr="009E3EA1" w:rsidRDefault="009E3EA1" w:rsidP="009E3EA1">
      <w:pPr>
        <w:pStyle w:val="ListBullet"/>
      </w:pPr>
      <w:r>
        <w:rPr>
          <w:rFonts w:cs="Calibri"/>
          <w:color w:val="000000"/>
          <w:lang w:eastAsia="en-GB"/>
        </w:rPr>
        <w:t>DTC CP change to D0268 will make the recording of MTDs in relation to sub 100kW market easier as key information from the D0313 will be able to be transferred accordingly</w:t>
      </w:r>
      <w:r w:rsidR="004722BA">
        <w:rPr>
          <w:rFonts w:cs="Calibri"/>
          <w:color w:val="000000"/>
          <w:lang w:eastAsia="en-GB"/>
        </w:rPr>
        <w:t>;</w:t>
      </w:r>
      <w:r>
        <w:rPr>
          <w:rFonts w:cs="Calibri"/>
          <w:color w:val="000000"/>
          <w:lang w:eastAsia="en-GB"/>
        </w:rPr>
        <w:t xml:space="preserve"> </w:t>
      </w:r>
    </w:p>
    <w:p w14:paraId="78A558E2" w14:textId="77777777" w:rsidR="009E3EA1" w:rsidRPr="009E3EA1" w:rsidRDefault="009E3EA1" w:rsidP="009E3EA1">
      <w:pPr>
        <w:pStyle w:val="ListBullet"/>
      </w:pPr>
      <w:r>
        <w:rPr>
          <w:rFonts w:cs="Calibri"/>
          <w:color w:val="000000"/>
          <w:lang w:eastAsia="en-GB"/>
        </w:rPr>
        <w:t>Upcoming change to implement a "valid set" to CT/VT ratios within the DTN may increase the failure rate as MTDs change and parties are forced to remove invalid ratios. This will offset any mitigation work taken</w:t>
      </w:r>
      <w:r w:rsidR="004722BA">
        <w:rPr>
          <w:rFonts w:cs="Calibri"/>
          <w:color w:val="000000"/>
          <w:lang w:eastAsia="en-GB"/>
        </w:rPr>
        <w:t>;</w:t>
      </w:r>
      <w:r>
        <w:rPr>
          <w:rFonts w:cs="Calibri"/>
          <w:color w:val="000000"/>
          <w:lang w:eastAsia="en-GB"/>
        </w:rPr>
        <w:t xml:space="preserve"> </w:t>
      </w:r>
    </w:p>
    <w:p w14:paraId="7A4FCD4F" w14:textId="77777777" w:rsidR="00DB7601" w:rsidRPr="00E901D4" w:rsidRDefault="009E3EA1" w:rsidP="009E3EA1">
      <w:pPr>
        <w:pStyle w:val="ListBullet"/>
      </w:pPr>
      <w:r>
        <w:rPr>
          <w:rFonts w:cs="Calibri"/>
          <w:color w:val="000000"/>
          <w:lang w:eastAsia="en-GB"/>
        </w:rPr>
        <w:t>Desktop Audits commencing from April 2020 which will present a wider range of data for root cause analysis into incorrect MTD submissions</w:t>
      </w:r>
      <w:r w:rsidR="004722BA">
        <w:rPr>
          <w:rFonts w:cs="Calibri"/>
          <w:color w:val="000000"/>
          <w:lang w:eastAsia="en-GB"/>
        </w:rPr>
        <w:t>.</w:t>
      </w:r>
    </w:p>
    <w:p w14:paraId="62844F9A" w14:textId="77777777" w:rsidR="00E901D4" w:rsidRDefault="00E901D4" w:rsidP="00E901D4">
      <w:pPr>
        <w:pStyle w:val="ListBullet"/>
        <w:numPr>
          <w:ilvl w:val="0"/>
          <w:numId w:val="0"/>
        </w:numPr>
        <w:ind w:left="1021"/>
      </w:pPr>
    </w:p>
    <w:p w14:paraId="08EEA330" w14:textId="77777777" w:rsidR="00DB7601" w:rsidRPr="009E3EA1" w:rsidRDefault="009269A3" w:rsidP="00E901D4">
      <w:pPr>
        <w:pStyle w:val="Boldheading"/>
      </w:pPr>
      <w:r>
        <w:t>Ongoing</w:t>
      </w:r>
      <w:r w:rsidR="009E3EA1">
        <w:t xml:space="preserve"> PAT Deployment</w:t>
      </w:r>
    </w:p>
    <w:p w14:paraId="45F70C8E" w14:textId="77777777" w:rsidR="00DB7601" w:rsidRDefault="00DB7601" w:rsidP="00DB7601">
      <w:pPr>
        <w:pStyle w:val="BodyText"/>
      </w:pPr>
      <w:r>
        <w:t>BSC Audit</w:t>
      </w:r>
    </w:p>
    <w:p w14:paraId="31A96C31" w14:textId="77777777" w:rsidR="009E3EA1" w:rsidRDefault="009E3EA1" w:rsidP="00DB7601">
      <w:pPr>
        <w:pStyle w:val="BodyText"/>
      </w:pPr>
      <w:r>
        <w:t>Trading Disputes</w:t>
      </w:r>
    </w:p>
    <w:p w14:paraId="4BA86E04" w14:textId="77777777" w:rsidR="00DB7601" w:rsidRDefault="00DB7601" w:rsidP="00E901D4">
      <w:pPr>
        <w:pStyle w:val="Boldheading"/>
      </w:pPr>
      <w:r w:rsidRPr="003A4EED">
        <w:t>Planned additional deployment</w:t>
      </w:r>
    </w:p>
    <w:p w14:paraId="17915D9B" w14:textId="77777777" w:rsidR="00DB7601" w:rsidRDefault="00DB7601" w:rsidP="00DB7601">
      <w:pPr>
        <w:pStyle w:val="BodyText"/>
      </w:pPr>
      <w:r>
        <w:t>Education</w:t>
      </w:r>
    </w:p>
    <w:p w14:paraId="3EC0C818" w14:textId="77777777" w:rsidR="00DB7601" w:rsidRDefault="00DB7601" w:rsidP="00DB7601">
      <w:pPr>
        <w:pStyle w:val="BodyText"/>
      </w:pPr>
      <w:r>
        <w:t>Analysis</w:t>
      </w:r>
    </w:p>
    <w:p w14:paraId="04C910D2" w14:textId="77777777" w:rsidR="00680488" w:rsidRDefault="009E3EA1" w:rsidP="00DB7601">
      <w:pPr>
        <w:pStyle w:val="BodyText"/>
      </w:pPr>
      <w:r>
        <w:t>Change</w:t>
      </w:r>
    </w:p>
    <w:p w14:paraId="3097026F" w14:textId="77777777" w:rsidR="009E3EA1" w:rsidRDefault="009E3EA1" w:rsidP="00DB7601">
      <w:pPr>
        <w:pStyle w:val="BodyText"/>
      </w:pPr>
      <w:r>
        <w:t>TAM</w:t>
      </w:r>
    </w:p>
    <w:p w14:paraId="2C45345E" w14:textId="77777777" w:rsidR="00680488" w:rsidRDefault="00680488" w:rsidP="00DB7601">
      <w:pPr>
        <w:pStyle w:val="BodyText"/>
      </w:pPr>
    </w:p>
    <w:p w14:paraId="75F6BE08" w14:textId="77777777" w:rsidR="00680488" w:rsidRDefault="00680488" w:rsidP="00DB7601">
      <w:pPr>
        <w:pStyle w:val="BodyText"/>
      </w:pPr>
    </w:p>
    <w:p w14:paraId="15E5287A" w14:textId="77777777" w:rsidR="00AE3642" w:rsidRDefault="00AE3642" w:rsidP="00AE3642">
      <w:pPr>
        <w:pStyle w:val="Heading"/>
      </w:pPr>
      <w:bookmarkStart w:id="17" w:name="_Toc35421320"/>
      <w:r>
        <w:t>Risk Operating Plan for Events</w:t>
      </w:r>
      <w:bookmarkEnd w:id="17"/>
    </w:p>
    <w:p w14:paraId="134E95A2" w14:textId="77777777" w:rsidR="00AE3642" w:rsidRPr="00DA2C50" w:rsidRDefault="00AE3642" w:rsidP="00AE3642">
      <w:pPr>
        <w:pStyle w:val="BodyText"/>
      </w:pPr>
      <w:r>
        <w:t xml:space="preserve">Events are scenarios that are occurring or may occur that would affect multiple Settlement Risks and therefore it may be efficient to consider managing via the PAF as a scenario rather than via the multitude of affected risks. </w:t>
      </w:r>
    </w:p>
    <w:p w14:paraId="48CF1C00" w14:textId="77777777" w:rsidR="00AE3642" w:rsidRDefault="00AE3642" w:rsidP="00AE3642">
      <w:pPr>
        <w:pStyle w:val="BodyText"/>
      </w:pPr>
      <w:r>
        <w:t xml:space="preserve">The ROP Ledger contains a full summary of the events we have identified and how we propose to manage the impact of these events. </w:t>
      </w:r>
    </w:p>
    <w:p w14:paraId="4C721606" w14:textId="77777777" w:rsidR="00AE3642" w:rsidRDefault="00AE3642" w:rsidP="00AE3642">
      <w:pPr>
        <w:pStyle w:val="BodyText"/>
      </w:pPr>
      <w:r>
        <w:t>Examples of some of the events identified are listed below.</w:t>
      </w:r>
    </w:p>
    <w:tbl>
      <w:tblPr>
        <w:tblW w:w="0" w:type="auto"/>
        <w:tblInd w:w="93" w:type="dxa"/>
        <w:tblLook w:val="04A0" w:firstRow="1" w:lastRow="0" w:firstColumn="1" w:lastColumn="0" w:noHBand="0" w:noVBand="1"/>
      </w:tblPr>
      <w:tblGrid>
        <w:gridCol w:w="1095"/>
        <w:gridCol w:w="2776"/>
        <w:gridCol w:w="2694"/>
        <w:gridCol w:w="1842"/>
        <w:gridCol w:w="1808"/>
      </w:tblGrid>
      <w:tr w:rsidR="00AE3642" w:rsidRPr="00377481" w14:paraId="7DE96B9A" w14:textId="77777777" w:rsidTr="00E85077">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0090AB"/>
            <w:noWrap/>
            <w:vAlign w:val="center"/>
            <w:hideMark/>
          </w:tcPr>
          <w:p w14:paraId="4FC3BED8" w14:textId="77777777" w:rsidR="00AE3642" w:rsidRPr="00377481" w:rsidRDefault="00AE3642" w:rsidP="000C223F">
            <w:pPr>
              <w:spacing w:after="0" w:line="240" w:lineRule="auto"/>
              <w:jc w:val="center"/>
              <w:rPr>
                <w:rFonts w:ascii="Calibri" w:hAnsi="Calibri" w:cs="Calibri"/>
                <w:b/>
                <w:color w:val="FFFFFF" w:themeColor="background1"/>
                <w:sz w:val="22"/>
                <w:szCs w:val="22"/>
                <w:lang w:eastAsia="en-GB"/>
              </w:rPr>
            </w:pPr>
            <w:r w:rsidRPr="00377481">
              <w:rPr>
                <w:rFonts w:ascii="Calibri" w:hAnsi="Calibri" w:cs="Calibri"/>
                <w:b/>
                <w:color w:val="FFFFFF" w:themeColor="background1"/>
                <w:sz w:val="22"/>
                <w:szCs w:val="22"/>
                <w:lang w:eastAsia="en-GB"/>
              </w:rPr>
              <w:t>Area</w:t>
            </w:r>
          </w:p>
        </w:tc>
        <w:tc>
          <w:tcPr>
            <w:tcW w:w="2776" w:type="dxa"/>
            <w:tcBorders>
              <w:top w:val="single" w:sz="4" w:space="0" w:color="auto"/>
              <w:left w:val="nil"/>
              <w:bottom w:val="single" w:sz="4" w:space="0" w:color="auto"/>
              <w:right w:val="single" w:sz="4" w:space="0" w:color="auto"/>
            </w:tcBorders>
            <w:shd w:val="clear" w:color="000000" w:fill="0090AB"/>
            <w:noWrap/>
            <w:vAlign w:val="center"/>
            <w:hideMark/>
          </w:tcPr>
          <w:p w14:paraId="237D3611" w14:textId="77777777" w:rsidR="00AE3642" w:rsidRPr="00377481" w:rsidRDefault="00AE3642" w:rsidP="000C223F">
            <w:pPr>
              <w:spacing w:after="0" w:line="240" w:lineRule="auto"/>
              <w:jc w:val="center"/>
              <w:rPr>
                <w:rFonts w:ascii="Calibri" w:hAnsi="Calibri" w:cs="Calibri"/>
                <w:b/>
                <w:color w:val="FFFFFF" w:themeColor="background1"/>
                <w:sz w:val="22"/>
                <w:szCs w:val="22"/>
                <w:lang w:eastAsia="en-GB"/>
              </w:rPr>
            </w:pPr>
            <w:r w:rsidRPr="00377481">
              <w:rPr>
                <w:rFonts w:ascii="Calibri" w:hAnsi="Calibri" w:cs="Calibri"/>
                <w:b/>
                <w:color w:val="FFFFFF" w:themeColor="background1"/>
                <w:sz w:val="22"/>
                <w:szCs w:val="22"/>
                <w:lang w:eastAsia="en-GB"/>
              </w:rPr>
              <w:t>Event</w:t>
            </w:r>
          </w:p>
        </w:tc>
        <w:tc>
          <w:tcPr>
            <w:tcW w:w="2694" w:type="dxa"/>
            <w:tcBorders>
              <w:top w:val="single" w:sz="4" w:space="0" w:color="auto"/>
              <w:left w:val="nil"/>
              <w:bottom w:val="single" w:sz="4" w:space="0" w:color="auto"/>
              <w:right w:val="single" w:sz="4" w:space="0" w:color="auto"/>
            </w:tcBorders>
            <w:shd w:val="clear" w:color="000000" w:fill="0090AB"/>
            <w:noWrap/>
            <w:vAlign w:val="center"/>
            <w:hideMark/>
          </w:tcPr>
          <w:p w14:paraId="158FFC9A" w14:textId="77777777" w:rsidR="00AE3642" w:rsidRPr="00377481" w:rsidRDefault="00AE3642" w:rsidP="000C223F">
            <w:pPr>
              <w:spacing w:after="0" w:line="240" w:lineRule="auto"/>
              <w:jc w:val="center"/>
              <w:rPr>
                <w:rFonts w:ascii="Calibri" w:hAnsi="Calibri" w:cs="Calibri"/>
                <w:b/>
                <w:color w:val="FFFFFF" w:themeColor="background1"/>
                <w:sz w:val="22"/>
                <w:szCs w:val="22"/>
                <w:lang w:eastAsia="en-GB"/>
              </w:rPr>
            </w:pPr>
            <w:r w:rsidRPr="00377481">
              <w:rPr>
                <w:rFonts w:ascii="Calibri" w:hAnsi="Calibri" w:cs="Calibri"/>
                <w:b/>
                <w:color w:val="FFFFFF" w:themeColor="background1"/>
                <w:sz w:val="22"/>
                <w:szCs w:val="22"/>
                <w:lang w:eastAsia="en-GB"/>
              </w:rPr>
              <w:t>Consequence / risk management impact</w:t>
            </w:r>
          </w:p>
        </w:tc>
        <w:tc>
          <w:tcPr>
            <w:tcW w:w="1842" w:type="dxa"/>
            <w:tcBorders>
              <w:top w:val="single" w:sz="4" w:space="0" w:color="auto"/>
              <w:left w:val="nil"/>
              <w:bottom w:val="single" w:sz="4" w:space="0" w:color="auto"/>
              <w:right w:val="single" w:sz="4" w:space="0" w:color="auto"/>
            </w:tcBorders>
            <w:shd w:val="clear" w:color="000000" w:fill="0090AB"/>
            <w:vAlign w:val="center"/>
            <w:hideMark/>
          </w:tcPr>
          <w:p w14:paraId="4FDA4BED" w14:textId="77777777" w:rsidR="00AE3642" w:rsidRPr="00377481" w:rsidRDefault="00AE3642" w:rsidP="000C223F">
            <w:pPr>
              <w:spacing w:after="0" w:line="240" w:lineRule="auto"/>
              <w:jc w:val="center"/>
              <w:rPr>
                <w:rFonts w:ascii="Calibri" w:hAnsi="Calibri" w:cs="Calibri"/>
                <w:b/>
                <w:color w:val="FFFFFF" w:themeColor="background1"/>
                <w:sz w:val="22"/>
                <w:szCs w:val="22"/>
                <w:lang w:eastAsia="en-GB"/>
              </w:rPr>
            </w:pPr>
            <w:r w:rsidRPr="00377481">
              <w:rPr>
                <w:rFonts w:ascii="Calibri" w:hAnsi="Calibri" w:cs="Calibri"/>
                <w:b/>
                <w:color w:val="FFFFFF" w:themeColor="background1"/>
                <w:sz w:val="22"/>
                <w:szCs w:val="22"/>
                <w:lang w:eastAsia="en-GB"/>
              </w:rPr>
              <w:t>Notes</w:t>
            </w:r>
          </w:p>
        </w:tc>
        <w:tc>
          <w:tcPr>
            <w:tcW w:w="1808" w:type="dxa"/>
            <w:tcBorders>
              <w:top w:val="single" w:sz="4" w:space="0" w:color="auto"/>
              <w:left w:val="nil"/>
              <w:bottom w:val="single" w:sz="4" w:space="0" w:color="auto"/>
              <w:right w:val="single" w:sz="4" w:space="0" w:color="auto"/>
            </w:tcBorders>
            <w:shd w:val="clear" w:color="000000" w:fill="0090AB"/>
            <w:vAlign w:val="center"/>
            <w:hideMark/>
          </w:tcPr>
          <w:p w14:paraId="049FB4D8" w14:textId="77777777" w:rsidR="00AE3642" w:rsidRPr="00377481" w:rsidRDefault="00AE3642" w:rsidP="000C223F">
            <w:pPr>
              <w:spacing w:after="0" w:line="240" w:lineRule="auto"/>
              <w:jc w:val="center"/>
              <w:rPr>
                <w:rFonts w:ascii="Calibri" w:hAnsi="Calibri" w:cs="Calibri"/>
                <w:b/>
                <w:color w:val="FFFFFF" w:themeColor="background1"/>
                <w:sz w:val="22"/>
                <w:szCs w:val="22"/>
                <w:lang w:eastAsia="en-GB"/>
              </w:rPr>
            </w:pPr>
            <w:r w:rsidRPr="00377481">
              <w:rPr>
                <w:rFonts w:ascii="Calibri" w:hAnsi="Calibri" w:cs="Calibri"/>
                <w:b/>
                <w:color w:val="FFFFFF" w:themeColor="background1"/>
                <w:sz w:val="22"/>
                <w:szCs w:val="22"/>
                <w:lang w:eastAsia="en-GB"/>
              </w:rPr>
              <w:t>Risk mitigation - PATs and other</w:t>
            </w:r>
          </w:p>
        </w:tc>
      </w:tr>
      <w:tr w:rsidR="00AE3642" w:rsidRPr="007E0BB2" w14:paraId="7050A781" w14:textId="77777777" w:rsidTr="00E85077">
        <w:trPr>
          <w:trHeight w:val="1685"/>
        </w:trPr>
        <w:tc>
          <w:tcPr>
            <w:tcW w:w="0" w:type="auto"/>
            <w:tcBorders>
              <w:top w:val="nil"/>
              <w:left w:val="single" w:sz="4" w:space="0" w:color="auto"/>
              <w:bottom w:val="single" w:sz="4" w:space="0" w:color="auto"/>
              <w:right w:val="single" w:sz="4" w:space="0" w:color="auto"/>
            </w:tcBorders>
            <w:shd w:val="clear" w:color="auto" w:fill="auto"/>
            <w:vAlign w:val="center"/>
          </w:tcPr>
          <w:p w14:paraId="7ED1E86E" w14:textId="77777777" w:rsidR="00AE3642" w:rsidRPr="00B83762" w:rsidRDefault="00AE3642" w:rsidP="000C223F">
            <w:pPr>
              <w:spacing w:after="0" w:line="240" w:lineRule="auto"/>
              <w:jc w:val="center"/>
              <w:rPr>
                <w:rFonts w:ascii="Calibri" w:hAnsi="Calibri" w:cs="Calibri"/>
                <w:color w:val="000000"/>
                <w:sz w:val="16"/>
                <w:szCs w:val="16"/>
                <w:lang w:eastAsia="en-GB"/>
              </w:rPr>
            </w:pPr>
            <w:r w:rsidRPr="00AE3642">
              <w:rPr>
                <w:rFonts w:ascii="Calibri" w:hAnsi="Calibri" w:cs="Calibri"/>
                <w:color w:val="000000"/>
                <w:sz w:val="16"/>
                <w:szCs w:val="16"/>
                <w:lang w:eastAsia="en-GB"/>
              </w:rPr>
              <w:t>Party operational disturbances</w:t>
            </w:r>
          </w:p>
        </w:tc>
        <w:tc>
          <w:tcPr>
            <w:tcW w:w="2776" w:type="dxa"/>
            <w:tcBorders>
              <w:top w:val="nil"/>
              <w:left w:val="nil"/>
              <w:bottom w:val="single" w:sz="4" w:space="0" w:color="auto"/>
              <w:right w:val="single" w:sz="4" w:space="0" w:color="auto"/>
            </w:tcBorders>
            <w:shd w:val="clear" w:color="auto" w:fill="auto"/>
            <w:vAlign w:val="center"/>
          </w:tcPr>
          <w:p w14:paraId="55CEBCF8" w14:textId="77777777" w:rsidR="00AE3642" w:rsidRPr="00B83762" w:rsidRDefault="00AE3642" w:rsidP="000C223F">
            <w:pPr>
              <w:spacing w:after="0" w:line="240" w:lineRule="auto"/>
              <w:jc w:val="center"/>
              <w:rPr>
                <w:rFonts w:ascii="Calibri" w:hAnsi="Calibri" w:cs="Calibri"/>
                <w:color w:val="000000"/>
                <w:sz w:val="16"/>
                <w:szCs w:val="16"/>
                <w:lang w:eastAsia="en-GB"/>
              </w:rPr>
            </w:pPr>
            <w:r w:rsidRPr="00AE3642">
              <w:rPr>
                <w:rFonts w:ascii="Calibri" w:hAnsi="Calibri" w:cs="Calibri"/>
                <w:color w:val="000000"/>
                <w:sz w:val="16"/>
                <w:szCs w:val="16"/>
                <w:lang w:eastAsia="en-GB"/>
              </w:rPr>
              <w:t xml:space="preserve">Parties are impacted by force majeure events that result in impacted operations and potential impacts to Settlement. Including but not limited to, severe weather events, travel disruption, strikes or other </w:t>
            </w:r>
            <w:r w:rsidR="00AE70AB" w:rsidRPr="00AE3642">
              <w:rPr>
                <w:rFonts w:ascii="Calibri" w:hAnsi="Calibri" w:cs="Calibri"/>
                <w:color w:val="000000"/>
                <w:sz w:val="16"/>
                <w:szCs w:val="16"/>
                <w:lang w:eastAsia="en-GB"/>
              </w:rPr>
              <w:t>labour</w:t>
            </w:r>
            <w:r w:rsidRPr="00AE3642">
              <w:rPr>
                <w:rFonts w:ascii="Calibri" w:hAnsi="Calibri" w:cs="Calibri"/>
                <w:color w:val="000000"/>
                <w:sz w:val="16"/>
                <w:szCs w:val="16"/>
                <w:lang w:eastAsia="en-GB"/>
              </w:rPr>
              <w:t xml:space="preserve"> disputes, and epidemics.</w:t>
            </w:r>
          </w:p>
        </w:tc>
        <w:tc>
          <w:tcPr>
            <w:tcW w:w="2694" w:type="dxa"/>
            <w:tcBorders>
              <w:top w:val="nil"/>
              <w:left w:val="nil"/>
              <w:bottom w:val="single" w:sz="4" w:space="0" w:color="auto"/>
              <w:right w:val="single" w:sz="4" w:space="0" w:color="auto"/>
            </w:tcBorders>
            <w:shd w:val="clear" w:color="auto" w:fill="auto"/>
            <w:vAlign w:val="center"/>
          </w:tcPr>
          <w:p w14:paraId="77345D6B" w14:textId="77777777" w:rsidR="00AE3642" w:rsidRPr="00B83762" w:rsidRDefault="00AE3642" w:rsidP="000C223F">
            <w:pPr>
              <w:spacing w:after="0" w:line="240" w:lineRule="auto"/>
              <w:jc w:val="center"/>
              <w:rPr>
                <w:rFonts w:ascii="Calibri" w:hAnsi="Calibri" w:cs="Calibri"/>
                <w:color w:val="000000"/>
                <w:sz w:val="16"/>
                <w:szCs w:val="16"/>
                <w:lang w:eastAsia="en-GB"/>
              </w:rPr>
            </w:pPr>
            <w:r w:rsidRPr="00AE3642">
              <w:rPr>
                <w:rFonts w:ascii="Calibri" w:hAnsi="Calibri" w:cs="Calibri"/>
                <w:color w:val="000000"/>
                <w:sz w:val="16"/>
                <w:szCs w:val="16"/>
                <w:lang w:eastAsia="en-GB"/>
              </w:rPr>
              <w:t>Impacts on Site Access and activities, impacts to internal operations. Delays to the transfer of data.</w:t>
            </w:r>
          </w:p>
        </w:tc>
        <w:tc>
          <w:tcPr>
            <w:tcW w:w="1842" w:type="dxa"/>
            <w:tcBorders>
              <w:top w:val="nil"/>
              <w:left w:val="nil"/>
              <w:bottom w:val="single" w:sz="4" w:space="0" w:color="auto"/>
              <w:right w:val="single" w:sz="4" w:space="0" w:color="auto"/>
            </w:tcBorders>
            <w:shd w:val="clear" w:color="auto" w:fill="auto"/>
            <w:vAlign w:val="center"/>
          </w:tcPr>
          <w:p w14:paraId="2EF0BE38" w14:textId="77777777" w:rsidR="00AE3642" w:rsidRPr="00B83762" w:rsidRDefault="00AE3642" w:rsidP="000C223F">
            <w:pPr>
              <w:spacing w:after="0" w:line="240" w:lineRule="auto"/>
              <w:jc w:val="center"/>
              <w:rPr>
                <w:rFonts w:ascii="Calibri" w:hAnsi="Calibri" w:cs="Calibri"/>
                <w:color w:val="000000"/>
                <w:sz w:val="16"/>
                <w:szCs w:val="16"/>
                <w:lang w:eastAsia="en-GB"/>
              </w:rPr>
            </w:pPr>
            <w:r w:rsidRPr="00AE3642">
              <w:rPr>
                <w:rFonts w:ascii="Calibri" w:hAnsi="Calibri" w:cs="Calibri"/>
                <w:color w:val="000000"/>
                <w:sz w:val="16"/>
                <w:szCs w:val="16"/>
                <w:lang w:eastAsia="en-GB"/>
              </w:rPr>
              <w:t>Parties should have controls in place to support operational continuity in the event of force majeure</w:t>
            </w:r>
          </w:p>
        </w:tc>
        <w:tc>
          <w:tcPr>
            <w:tcW w:w="1808" w:type="dxa"/>
            <w:tcBorders>
              <w:top w:val="nil"/>
              <w:left w:val="nil"/>
              <w:bottom w:val="single" w:sz="4" w:space="0" w:color="auto"/>
              <w:right w:val="single" w:sz="4" w:space="0" w:color="auto"/>
            </w:tcBorders>
            <w:shd w:val="clear" w:color="auto" w:fill="auto"/>
            <w:vAlign w:val="center"/>
          </w:tcPr>
          <w:p w14:paraId="64BE36FE" w14:textId="77777777" w:rsidR="00AE3642" w:rsidRPr="00B83762" w:rsidRDefault="00AE3642" w:rsidP="000C223F">
            <w:pPr>
              <w:spacing w:after="0" w:line="240" w:lineRule="auto"/>
              <w:jc w:val="center"/>
              <w:rPr>
                <w:rFonts w:ascii="Calibri" w:hAnsi="Calibri" w:cs="Calibri"/>
                <w:color w:val="000000"/>
                <w:sz w:val="16"/>
                <w:szCs w:val="16"/>
                <w:lang w:eastAsia="en-GB"/>
              </w:rPr>
            </w:pPr>
          </w:p>
        </w:tc>
      </w:tr>
      <w:tr w:rsidR="00AE3642" w:rsidRPr="007E0BB2" w14:paraId="5EF03B2A" w14:textId="77777777" w:rsidTr="00E85077">
        <w:trPr>
          <w:trHeight w:val="213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36FC05" w14:textId="77777777" w:rsidR="00AE3642" w:rsidRPr="00B83762" w:rsidRDefault="00AE3642" w:rsidP="000C223F">
            <w:pPr>
              <w:spacing w:after="0" w:line="240" w:lineRule="auto"/>
              <w:jc w:val="center"/>
              <w:rPr>
                <w:rFonts w:ascii="Calibri" w:hAnsi="Calibri" w:cs="Calibri"/>
                <w:color w:val="000000"/>
                <w:sz w:val="16"/>
                <w:szCs w:val="16"/>
                <w:lang w:eastAsia="en-GB"/>
              </w:rPr>
            </w:pPr>
            <w:r w:rsidRPr="00B83762">
              <w:rPr>
                <w:rFonts w:ascii="Calibri" w:hAnsi="Calibri" w:cs="Calibri"/>
                <w:color w:val="000000"/>
                <w:sz w:val="16"/>
                <w:szCs w:val="16"/>
                <w:lang w:eastAsia="en-GB"/>
              </w:rPr>
              <w:t>Priority of Settlement Risk</w:t>
            </w:r>
          </w:p>
        </w:tc>
        <w:tc>
          <w:tcPr>
            <w:tcW w:w="2776" w:type="dxa"/>
            <w:tcBorders>
              <w:top w:val="nil"/>
              <w:left w:val="nil"/>
              <w:bottom w:val="single" w:sz="4" w:space="0" w:color="auto"/>
              <w:right w:val="single" w:sz="4" w:space="0" w:color="auto"/>
            </w:tcBorders>
            <w:shd w:val="clear" w:color="auto" w:fill="auto"/>
            <w:vAlign w:val="center"/>
            <w:hideMark/>
          </w:tcPr>
          <w:p w14:paraId="156F24E9" w14:textId="77777777" w:rsidR="00AE3642" w:rsidRPr="00B83762" w:rsidRDefault="00AE3642" w:rsidP="000C223F">
            <w:pPr>
              <w:spacing w:after="0" w:line="240" w:lineRule="auto"/>
              <w:jc w:val="center"/>
              <w:rPr>
                <w:rFonts w:ascii="Calibri" w:hAnsi="Calibri" w:cs="Calibri"/>
                <w:color w:val="000000"/>
                <w:sz w:val="16"/>
                <w:szCs w:val="16"/>
                <w:lang w:eastAsia="en-GB"/>
              </w:rPr>
            </w:pPr>
            <w:r w:rsidRPr="00B83762">
              <w:rPr>
                <w:rFonts w:ascii="Calibri" w:hAnsi="Calibri" w:cs="Calibri"/>
                <w:color w:val="000000"/>
                <w:sz w:val="16"/>
                <w:szCs w:val="16"/>
                <w:lang w:eastAsia="en-GB"/>
              </w:rPr>
              <w:t>Performance Assurance Parties do not prioritise risks to Settlement due to lack of awareness and/or resource constraints including from external events such as Government policy decisions.</w:t>
            </w:r>
          </w:p>
        </w:tc>
        <w:tc>
          <w:tcPr>
            <w:tcW w:w="2694" w:type="dxa"/>
            <w:tcBorders>
              <w:top w:val="nil"/>
              <w:left w:val="nil"/>
              <w:bottom w:val="single" w:sz="4" w:space="0" w:color="auto"/>
              <w:right w:val="single" w:sz="4" w:space="0" w:color="auto"/>
            </w:tcBorders>
            <w:shd w:val="clear" w:color="auto" w:fill="auto"/>
            <w:vAlign w:val="center"/>
            <w:hideMark/>
          </w:tcPr>
          <w:p w14:paraId="63E7B0FF" w14:textId="77777777" w:rsidR="00AE3642" w:rsidRPr="00B83762" w:rsidRDefault="00AE3642" w:rsidP="000C223F">
            <w:pPr>
              <w:spacing w:after="0" w:line="240" w:lineRule="auto"/>
              <w:jc w:val="center"/>
              <w:rPr>
                <w:rFonts w:ascii="Calibri" w:hAnsi="Calibri" w:cs="Calibri"/>
                <w:color w:val="000000"/>
                <w:sz w:val="16"/>
                <w:szCs w:val="16"/>
                <w:lang w:eastAsia="en-GB"/>
              </w:rPr>
            </w:pPr>
            <w:r w:rsidRPr="00B83762">
              <w:rPr>
                <w:rFonts w:ascii="Calibri" w:hAnsi="Calibri" w:cs="Calibri"/>
                <w:color w:val="000000"/>
                <w:sz w:val="16"/>
                <w:szCs w:val="16"/>
                <w:lang w:eastAsia="en-GB"/>
              </w:rPr>
              <w:t>Less resource available for maintaining compliance with BSC processes and fixing non-compliances and issues in a timely and best practice way.</w:t>
            </w:r>
          </w:p>
        </w:tc>
        <w:tc>
          <w:tcPr>
            <w:tcW w:w="1842" w:type="dxa"/>
            <w:tcBorders>
              <w:top w:val="nil"/>
              <w:left w:val="nil"/>
              <w:bottom w:val="single" w:sz="4" w:space="0" w:color="auto"/>
              <w:right w:val="single" w:sz="4" w:space="0" w:color="auto"/>
            </w:tcBorders>
            <w:shd w:val="clear" w:color="auto" w:fill="auto"/>
            <w:vAlign w:val="center"/>
            <w:hideMark/>
          </w:tcPr>
          <w:p w14:paraId="4A7E02E0" w14:textId="77777777" w:rsidR="00AE3642" w:rsidRPr="00B83762" w:rsidRDefault="00AE3642" w:rsidP="000C223F">
            <w:pPr>
              <w:spacing w:after="0" w:line="240" w:lineRule="auto"/>
              <w:jc w:val="center"/>
              <w:rPr>
                <w:rFonts w:ascii="Calibri" w:hAnsi="Calibri" w:cs="Calibri"/>
                <w:color w:val="000000"/>
                <w:sz w:val="16"/>
                <w:szCs w:val="16"/>
                <w:lang w:eastAsia="en-GB"/>
              </w:rPr>
            </w:pPr>
            <w:r w:rsidRPr="00B83762">
              <w:rPr>
                <w:rFonts w:ascii="Calibri" w:hAnsi="Calibri" w:cs="Calibri"/>
                <w:color w:val="000000"/>
                <w:sz w:val="16"/>
                <w:szCs w:val="16"/>
                <w:lang w:eastAsia="en-GB"/>
              </w:rPr>
              <w:t>An example will be the efforts being put into the Smart Meter rollout or price caps.</w:t>
            </w:r>
            <w:r w:rsidRPr="00B83762">
              <w:rPr>
                <w:rFonts w:ascii="Calibri" w:hAnsi="Calibri" w:cs="Calibri"/>
                <w:color w:val="000000"/>
                <w:sz w:val="16"/>
                <w:szCs w:val="16"/>
                <w:lang w:eastAsia="en-GB"/>
              </w:rPr>
              <w:br/>
              <w:t>Party engagement with OSM and Risk Manager give opportunities for discussing any related issues or points of concern.</w:t>
            </w:r>
          </w:p>
        </w:tc>
        <w:tc>
          <w:tcPr>
            <w:tcW w:w="1808" w:type="dxa"/>
            <w:tcBorders>
              <w:top w:val="nil"/>
              <w:left w:val="nil"/>
              <w:bottom w:val="single" w:sz="4" w:space="0" w:color="auto"/>
              <w:right w:val="single" w:sz="4" w:space="0" w:color="auto"/>
            </w:tcBorders>
            <w:shd w:val="clear" w:color="auto" w:fill="auto"/>
            <w:vAlign w:val="center"/>
            <w:hideMark/>
          </w:tcPr>
          <w:p w14:paraId="5F4115DA" w14:textId="77777777" w:rsidR="00AE3642" w:rsidRPr="00B83762" w:rsidRDefault="00AE3642" w:rsidP="000C223F">
            <w:pPr>
              <w:spacing w:after="0" w:line="240" w:lineRule="auto"/>
              <w:jc w:val="center"/>
              <w:rPr>
                <w:rFonts w:ascii="Calibri" w:hAnsi="Calibri" w:cs="Calibri"/>
                <w:color w:val="000000"/>
                <w:sz w:val="16"/>
                <w:szCs w:val="16"/>
                <w:lang w:eastAsia="en-GB"/>
              </w:rPr>
            </w:pPr>
            <w:r w:rsidRPr="00B83762">
              <w:rPr>
                <w:rFonts w:ascii="Calibri" w:hAnsi="Calibri" w:cs="Calibri"/>
                <w:color w:val="000000"/>
                <w:sz w:val="16"/>
                <w:szCs w:val="16"/>
                <w:lang w:eastAsia="en-GB"/>
              </w:rPr>
              <w:t>Compelling communication aimed at</w:t>
            </w:r>
            <w:r>
              <w:rPr>
                <w:rFonts w:ascii="Calibri" w:hAnsi="Calibri" w:cs="Calibri"/>
                <w:color w:val="000000"/>
                <w:sz w:val="16"/>
                <w:szCs w:val="16"/>
                <w:lang w:eastAsia="en-GB"/>
              </w:rPr>
              <w:t xml:space="preserve"> senior managers, highlighting </w:t>
            </w:r>
            <w:r w:rsidRPr="00B83762">
              <w:rPr>
                <w:rFonts w:ascii="Calibri" w:hAnsi="Calibri" w:cs="Calibri"/>
                <w:color w:val="000000"/>
                <w:sz w:val="16"/>
                <w:szCs w:val="16"/>
                <w:lang w:eastAsia="en-GB"/>
              </w:rPr>
              <w:t>implications of non-compliance, benefits of mitigation within BSC and wider, and how we'll be asking them to help mitigate risks in the year.</w:t>
            </w:r>
            <w:r w:rsidRPr="00B83762">
              <w:rPr>
                <w:rFonts w:ascii="Calibri" w:hAnsi="Calibri" w:cs="Calibri"/>
                <w:color w:val="000000"/>
                <w:sz w:val="16"/>
                <w:szCs w:val="16"/>
                <w:lang w:eastAsia="en-GB"/>
              </w:rPr>
              <w:br/>
              <w:t xml:space="preserve"> - Peer Comparison: existing, and new proposed </w:t>
            </w:r>
            <w:r w:rsidR="00E85077">
              <w:rPr>
                <w:rFonts w:ascii="Calibri" w:hAnsi="Calibri" w:cs="Calibri"/>
                <w:color w:val="000000"/>
                <w:sz w:val="16"/>
                <w:szCs w:val="16"/>
                <w:lang w:eastAsia="en-GB"/>
              </w:rPr>
              <w:t>reports for 2020/21</w:t>
            </w:r>
          </w:p>
        </w:tc>
      </w:tr>
      <w:tr w:rsidR="00AE3642" w:rsidRPr="005D4D4E" w14:paraId="69A07692" w14:textId="77777777" w:rsidTr="00E85077">
        <w:trPr>
          <w:trHeight w:val="1953"/>
        </w:trPr>
        <w:tc>
          <w:tcPr>
            <w:tcW w:w="0" w:type="auto"/>
            <w:tcBorders>
              <w:top w:val="nil"/>
              <w:left w:val="single" w:sz="4" w:space="0" w:color="auto"/>
              <w:bottom w:val="single" w:sz="4" w:space="0" w:color="auto"/>
              <w:right w:val="single" w:sz="4" w:space="0" w:color="auto"/>
            </w:tcBorders>
            <w:shd w:val="clear" w:color="auto" w:fill="auto"/>
            <w:vAlign w:val="center"/>
          </w:tcPr>
          <w:p w14:paraId="411A9479" w14:textId="77777777" w:rsidR="00AE3642" w:rsidRPr="00B83762" w:rsidRDefault="00AE3642" w:rsidP="000C223F">
            <w:pPr>
              <w:spacing w:after="0" w:line="240" w:lineRule="auto"/>
              <w:jc w:val="center"/>
              <w:rPr>
                <w:rFonts w:ascii="Calibri" w:hAnsi="Calibri" w:cs="Calibri"/>
                <w:color w:val="000000"/>
                <w:sz w:val="16"/>
                <w:szCs w:val="16"/>
                <w:lang w:eastAsia="en-GB"/>
              </w:rPr>
            </w:pPr>
            <w:r w:rsidRPr="00AE3642">
              <w:rPr>
                <w:rFonts w:ascii="Calibri" w:hAnsi="Calibri" w:cs="Calibri"/>
                <w:color w:val="000000"/>
                <w:sz w:val="16"/>
                <w:szCs w:val="16"/>
                <w:lang w:eastAsia="en-GB"/>
              </w:rPr>
              <w:t>Industry Policies</w:t>
            </w:r>
          </w:p>
        </w:tc>
        <w:tc>
          <w:tcPr>
            <w:tcW w:w="2776" w:type="dxa"/>
            <w:tcBorders>
              <w:top w:val="nil"/>
              <w:left w:val="nil"/>
              <w:bottom w:val="single" w:sz="4" w:space="0" w:color="auto"/>
              <w:right w:val="single" w:sz="4" w:space="0" w:color="auto"/>
            </w:tcBorders>
            <w:shd w:val="clear" w:color="auto" w:fill="auto"/>
            <w:vAlign w:val="center"/>
          </w:tcPr>
          <w:p w14:paraId="33BEB41C" w14:textId="77777777" w:rsidR="00AE3642" w:rsidRPr="00B83762" w:rsidRDefault="00AE3642" w:rsidP="000C223F">
            <w:pPr>
              <w:spacing w:after="0" w:line="240" w:lineRule="auto"/>
              <w:jc w:val="center"/>
              <w:rPr>
                <w:rFonts w:ascii="Calibri" w:hAnsi="Calibri" w:cs="Calibri"/>
                <w:color w:val="000000"/>
                <w:sz w:val="16"/>
                <w:szCs w:val="16"/>
                <w:lang w:eastAsia="en-GB"/>
              </w:rPr>
            </w:pPr>
            <w:r w:rsidRPr="00AE3642">
              <w:rPr>
                <w:rFonts w:ascii="Calibri" w:hAnsi="Calibri" w:cs="Calibri"/>
                <w:color w:val="000000"/>
                <w:sz w:val="16"/>
                <w:szCs w:val="16"/>
                <w:lang w:eastAsia="en-GB"/>
              </w:rPr>
              <w:t>Government led policies such as the default tariff price cap affect decisions made by BSC Parties and their agents directly or indirectly related to BSC obligations, and may change customer behaviour such as changing Supplier and acceptance of new types of meters and services.</w:t>
            </w:r>
          </w:p>
        </w:tc>
        <w:tc>
          <w:tcPr>
            <w:tcW w:w="2694" w:type="dxa"/>
            <w:tcBorders>
              <w:top w:val="nil"/>
              <w:left w:val="nil"/>
              <w:bottom w:val="single" w:sz="4" w:space="0" w:color="auto"/>
              <w:right w:val="single" w:sz="4" w:space="0" w:color="auto"/>
            </w:tcBorders>
            <w:shd w:val="clear" w:color="auto" w:fill="auto"/>
            <w:vAlign w:val="center"/>
          </w:tcPr>
          <w:p w14:paraId="36105AF5" w14:textId="77777777" w:rsidR="00AE3642" w:rsidRPr="00B83762" w:rsidRDefault="00AE3642" w:rsidP="000C223F">
            <w:pPr>
              <w:spacing w:after="0" w:line="240" w:lineRule="auto"/>
              <w:jc w:val="center"/>
              <w:rPr>
                <w:rFonts w:ascii="Calibri" w:hAnsi="Calibri" w:cs="Calibri"/>
                <w:color w:val="000000"/>
                <w:sz w:val="16"/>
                <w:szCs w:val="16"/>
                <w:lang w:eastAsia="en-GB"/>
              </w:rPr>
            </w:pPr>
            <w:r w:rsidRPr="00AE3642">
              <w:rPr>
                <w:rFonts w:ascii="Calibri" w:hAnsi="Calibri" w:cs="Calibri"/>
                <w:color w:val="000000"/>
                <w:sz w:val="16"/>
                <w:szCs w:val="16"/>
                <w:lang w:eastAsia="en-GB"/>
              </w:rPr>
              <w:t>Reduced Settlement performance and increase in non-compliant processes, issues and errors. Increase in Credit Defaults, inability to pay Trading Charges, and other non-BSC Obligations.</w:t>
            </w:r>
          </w:p>
        </w:tc>
        <w:tc>
          <w:tcPr>
            <w:tcW w:w="1842" w:type="dxa"/>
            <w:tcBorders>
              <w:top w:val="nil"/>
              <w:left w:val="nil"/>
              <w:bottom w:val="single" w:sz="4" w:space="0" w:color="auto"/>
              <w:right w:val="single" w:sz="4" w:space="0" w:color="auto"/>
            </w:tcBorders>
            <w:shd w:val="clear" w:color="auto" w:fill="auto"/>
            <w:vAlign w:val="center"/>
          </w:tcPr>
          <w:p w14:paraId="2C7E391B" w14:textId="77777777" w:rsidR="00AE3642" w:rsidRPr="00AE3642" w:rsidRDefault="00AE3642" w:rsidP="00AE3642">
            <w:pPr>
              <w:spacing w:after="0" w:line="240" w:lineRule="auto"/>
              <w:jc w:val="center"/>
              <w:rPr>
                <w:rFonts w:ascii="Calibri" w:hAnsi="Calibri" w:cs="Calibri"/>
                <w:color w:val="000000"/>
                <w:sz w:val="16"/>
                <w:szCs w:val="16"/>
                <w:lang w:eastAsia="en-GB"/>
              </w:rPr>
            </w:pPr>
            <w:r w:rsidRPr="00AE3642">
              <w:rPr>
                <w:rFonts w:ascii="Calibri" w:hAnsi="Calibri" w:cs="Calibri"/>
                <w:color w:val="000000"/>
                <w:sz w:val="16"/>
                <w:szCs w:val="16"/>
                <w:lang w:eastAsia="en-GB"/>
              </w:rPr>
              <w:t>Many risks potentially affected.</w:t>
            </w:r>
          </w:p>
          <w:p w14:paraId="01617AF5" w14:textId="77777777" w:rsidR="00AE3642" w:rsidRPr="00B83762" w:rsidRDefault="00AE3642" w:rsidP="00AE3642">
            <w:pPr>
              <w:spacing w:after="0" w:line="240" w:lineRule="auto"/>
              <w:jc w:val="center"/>
              <w:rPr>
                <w:rFonts w:ascii="Calibri" w:hAnsi="Calibri" w:cs="Calibri"/>
                <w:color w:val="000000"/>
                <w:sz w:val="16"/>
                <w:szCs w:val="16"/>
                <w:lang w:eastAsia="en-GB"/>
              </w:rPr>
            </w:pPr>
            <w:r w:rsidRPr="00AE3642">
              <w:rPr>
                <w:rFonts w:ascii="Calibri" w:hAnsi="Calibri" w:cs="Calibri"/>
                <w:color w:val="000000"/>
                <w:sz w:val="16"/>
                <w:szCs w:val="16"/>
                <w:lang w:eastAsia="en-GB"/>
              </w:rPr>
              <w:t>PSL100 - contains some relevant points on good practice.</w:t>
            </w:r>
          </w:p>
        </w:tc>
        <w:tc>
          <w:tcPr>
            <w:tcW w:w="1808" w:type="dxa"/>
            <w:tcBorders>
              <w:top w:val="nil"/>
              <w:left w:val="nil"/>
              <w:bottom w:val="single" w:sz="4" w:space="0" w:color="auto"/>
              <w:right w:val="single" w:sz="4" w:space="0" w:color="auto"/>
            </w:tcBorders>
            <w:shd w:val="clear" w:color="auto" w:fill="auto"/>
            <w:vAlign w:val="center"/>
          </w:tcPr>
          <w:p w14:paraId="13B6BAAF" w14:textId="77777777" w:rsidR="003B2731" w:rsidRPr="00AE3642" w:rsidRDefault="003B2731" w:rsidP="003B2731">
            <w:pPr>
              <w:spacing w:after="0" w:line="240" w:lineRule="auto"/>
              <w:jc w:val="center"/>
              <w:rPr>
                <w:rFonts w:ascii="Calibri" w:hAnsi="Calibri" w:cs="Calibri"/>
                <w:color w:val="000000"/>
                <w:sz w:val="16"/>
                <w:szCs w:val="16"/>
                <w:lang w:eastAsia="en-GB"/>
              </w:rPr>
            </w:pPr>
            <w:r w:rsidRPr="00AE3642">
              <w:rPr>
                <w:rFonts w:ascii="Calibri" w:hAnsi="Calibri" w:cs="Calibri"/>
                <w:color w:val="000000"/>
                <w:sz w:val="16"/>
                <w:szCs w:val="16"/>
                <w:lang w:eastAsia="en-GB"/>
              </w:rPr>
              <w:t>The PAF can facilitate guidance on best practice and deploy mitigating techniques to support change management.</w:t>
            </w:r>
          </w:p>
          <w:p w14:paraId="64248F75" w14:textId="77777777" w:rsidR="00AE3642" w:rsidRPr="00B83762" w:rsidRDefault="00AE3642" w:rsidP="000C223F">
            <w:pPr>
              <w:spacing w:after="0" w:line="240" w:lineRule="auto"/>
              <w:jc w:val="center"/>
              <w:rPr>
                <w:rFonts w:ascii="Calibri" w:hAnsi="Calibri" w:cs="Calibri"/>
                <w:color w:val="000000"/>
                <w:sz w:val="16"/>
                <w:szCs w:val="16"/>
                <w:lang w:eastAsia="en-GB"/>
              </w:rPr>
            </w:pPr>
          </w:p>
        </w:tc>
      </w:tr>
    </w:tbl>
    <w:p w14:paraId="4BF1B952" w14:textId="77777777" w:rsidR="00AE3642" w:rsidRDefault="00AE3642" w:rsidP="00AE3642">
      <w:pPr>
        <w:pStyle w:val="BodyText"/>
      </w:pPr>
    </w:p>
    <w:p w14:paraId="135F696A" w14:textId="1B5FCB51" w:rsidR="003B2731" w:rsidRDefault="009B442D" w:rsidP="00AE3642">
      <w:pPr>
        <w:pStyle w:val="BodyText"/>
      </w:pPr>
      <w:r>
        <w:t>ELEXON</w:t>
      </w:r>
      <w:r w:rsidR="003B2731">
        <w:t xml:space="preserve"> </w:t>
      </w:r>
      <w:r w:rsidR="003F70B3">
        <w:t>has</w:t>
      </w:r>
      <w:r w:rsidR="001533F6">
        <w:t xml:space="preserve"> identified </w:t>
      </w:r>
      <w:r w:rsidR="003B2731">
        <w:t>some Risk events for specific focus in the 2020/21 Performance Assurance Operating Period, these are detailed on the following pages.</w:t>
      </w:r>
    </w:p>
    <w:p w14:paraId="4E5BCD31" w14:textId="77777777" w:rsidR="00E85077" w:rsidRDefault="00E85077" w:rsidP="00AE3642">
      <w:pPr>
        <w:pStyle w:val="BodyText"/>
      </w:pPr>
    </w:p>
    <w:p w14:paraId="32DBA7CB" w14:textId="77777777" w:rsidR="00E85077" w:rsidRDefault="00E85077" w:rsidP="00AE3642">
      <w:pPr>
        <w:pStyle w:val="BodyText"/>
      </w:pPr>
    </w:p>
    <w:p w14:paraId="2FC0EC2A" w14:textId="77777777" w:rsidR="00E85077" w:rsidRDefault="00E85077" w:rsidP="00AE3642">
      <w:pPr>
        <w:pStyle w:val="BodyText"/>
        <w:sectPr w:rsidR="00E85077" w:rsidSect="00990236">
          <w:pgSz w:w="11906" w:h="16838" w:code="9"/>
          <w:pgMar w:top="1162" w:right="794" w:bottom="1928" w:left="794" w:header="879" w:footer="539" w:gutter="0"/>
          <w:cols w:space="708"/>
          <w:titlePg/>
          <w:docGrid w:linePitch="360"/>
        </w:sectPr>
      </w:pPr>
    </w:p>
    <w:p w14:paraId="1730E3CC" w14:textId="77777777" w:rsidR="00511003" w:rsidRPr="000A5589" w:rsidRDefault="000239E8" w:rsidP="00511003">
      <w:pPr>
        <w:pStyle w:val="BodyText"/>
        <w:rPr>
          <w:b/>
        </w:rPr>
      </w:pPr>
      <w:r>
        <w:rPr>
          <w:b/>
        </w:rPr>
        <w:t>Event 001</w:t>
      </w:r>
      <w:r w:rsidR="00511003" w:rsidRPr="000A5589">
        <w:rPr>
          <w:b/>
        </w:rPr>
        <w:t xml:space="preserve"> – </w:t>
      </w:r>
      <w:r>
        <w:rPr>
          <w:b/>
        </w:rPr>
        <w:t>Supplier Agents</w:t>
      </w:r>
    </w:p>
    <w:p w14:paraId="499FC919" w14:textId="6752434D" w:rsidR="001959E8" w:rsidRDefault="001959E8" w:rsidP="00511003">
      <w:pPr>
        <w:pStyle w:val="BodyText"/>
      </w:pPr>
      <w:r>
        <w:t xml:space="preserve">This Risk event incorporates issues relating to </w:t>
      </w:r>
      <w:r w:rsidR="00291767">
        <w:t>C</w:t>
      </w:r>
      <w:r w:rsidR="00F170BA">
        <w:t xml:space="preserve">ustomer </w:t>
      </w:r>
      <w:r w:rsidR="003F70B3">
        <w:t>Preferred Ag</w:t>
      </w:r>
      <w:r w:rsidR="00613CDB">
        <w:t xml:space="preserve">ents </w:t>
      </w:r>
      <w:r w:rsidR="003F70B3">
        <w:t>(CPA</w:t>
      </w:r>
      <w:r w:rsidR="00291767">
        <w:t xml:space="preserve">and the potential for these arrangements to impact Settlement. In addition, this Risk event will consider </w:t>
      </w:r>
      <w:r w:rsidR="009B442D">
        <w:t>more broadly the impact of 3</w:t>
      </w:r>
      <w:r w:rsidR="009B442D" w:rsidRPr="009B442D">
        <w:rPr>
          <w:vertAlign w:val="superscript"/>
        </w:rPr>
        <w:t>rd</w:t>
      </w:r>
      <w:r w:rsidR="009B442D">
        <w:t xml:space="preserve"> party agents who perform actions which touch on BSC processes and </w:t>
      </w:r>
      <w:r w:rsidR="00AE70AB">
        <w:t>S</w:t>
      </w:r>
      <w:r w:rsidR="009B442D">
        <w:t xml:space="preserve">ettlement data. </w:t>
      </w:r>
      <w:r w:rsidR="00291767">
        <w:t xml:space="preserve"> </w:t>
      </w:r>
    </w:p>
    <w:p w14:paraId="11F2A292" w14:textId="77777777" w:rsidR="00511003" w:rsidRDefault="00511003" w:rsidP="00511003">
      <w:pPr>
        <w:pStyle w:val="BodyText"/>
      </w:pPr>
      <w:r>
        <w:t xml:space="preserve">Risk Impact - </w:t>
      </w:r>
      <w:r w:rsidR="000239E8">
        <w:t>TBC</w:t>
      </w:r>
    </w:p>
    <w:p w14:paraId="24537064" w14:textId="77777777" w:rsidR="00511003" w:rsidRDefault="00511003" w:rsidP="00511003">
      <w:pPr>
        <w:pStyle w:val="BodyText"/>
      </w:pPr>
      <w:r>
        <w:t xml:space="preserve">Risk Volatility – </w:t>
      </w:r>
      <w:r w:rsidR="000239E8">
        <w:t>TBC</w:t>
      </w:r>
    </w:p>
    <w:p w14:paraId="300B6C65" w14:textId="77777777" w:rsidR="00511003" w:rsidRDefault="00511003" w:rsidP="00511003">
      <w:pPr>
        <w:pStyle w:val="BodyText"/>
      </w:pPr>
      <w:r>
        <w:t xml:space="preserve">Target Impact - </w:t>
      </w:r>
      <w:r w:rsidR="000239E8">
        <w:t>TBC</w:t>
      </w:r>
    </w:p>
    <w:p w14:paraId="414A1DC8" w14:textId="77777777" w:rsidR="009B442D" w:rsidRDefault="009B442D" w:rsidP="004E4E41">
      <w:pPr>
        <w:spacing w:after="0" w:line="240" w:lineRule="auto"/>
      </w:pPr>
    </w:p>
    <w:p w14:paraId="5365593F" w14:textId="2FC9BE99" w:rsidR="004E4E41" w:rsidRDefault="009B442D" w:rsidP="004E4E41">
      <w:pPr>
        <w:spacing w:after="0" w:line="240" w:lineRule="auto"/>
      </w:pPr>
      <w:r>
        <w:t>ELEXON</w:t>
      </w:r>
      <w:r w:rsidR="004E4E41">
        <w:t xml:space="preserve"> will carry out further analysis into the impact of Customer Preferred A</w:t>
      </w:r>
      <w:r w:rsidR="00696A69">
        <w:t>gent</w:t>
      </w:r>
      <w:r w:rsidR="003F70B3">
        <w:t>s on Settlement performance. A r</w:t>
      </w:r>
      <w:r w:rsidR="004E4E41">
        <w:t xml:space="preserve">ecent ELEXON Work Group </w:t>
      </w:r>
      <w:r>
        <w:t>provided feedback that</w:t>
      </w:r>
      <w:r w:rsidR="004E4E41">
        <w:t xml:space="preserve"> there is sufficient qualitative, anecdotal and intuitive evidence to conclude that CPAs do impact Settlement and </w:t>
      </w:r>
      <w:r>
        <w:t>ELEXON</w:t>
      </w:r>
      <w:r w:rsidR="004E4E41">
        <w:t xml:space="preserve"> wishes to quantify this</w:t>
      </w:r>
      <w:r w:rsidR="006B60C7">
        <w:t xml:space="preserve"> to understand the Risk Impact and Risk Volatility</w:t>
      </w:r>
      <w:r w:rsidR="004E4E41">
        <w:t xml:space="preserve">. </w:t>
      </w:r>
    </w:p>
    <w:p w14:paraId="721DACB0" w14:textId="77777777" w:rsidR="004E4E41" w:rsidRDefault="004E4E41" w:rsidP="00511003">
      <w:pPr>
        <w:pStyle w:val="BodyText"/>
      </w:pPr>
    </w:p>
    <w:p w14:paraId="7776BDDE" w14:textId="77777777" w:rsidR="004E4E41" w:rsidRDefault="004E4E41" w:rsidP="00511003">
      <w:pPr>
        <w:pStyle w:val="BodyText"/>
      </w:pPr>
      <w:r>
        <w:t>Issues within this Risk event include</w:t>
      </w:r>
    </w:p>
    <w:p w14:paraId="215ED713" w14:textId="77777777" w:rsidR="004E4E41" w:rsidRDefault="004E4E41" w:rsidP="004E4E41">
      <w:pPr>
        <w:pStyle w:val="ListBullet"/>
      </w:pPr>
      <w:r>
        <w:t>Suppliers report it may be harder to influence Settlement performance.</w:t>
      </w:r>
    </w:p>
    <w:p w14:paraId="4E6DBD42" w14:textId="77777777" w:rsidR="004E4E41" w:rsidRDefault="004E4E41" w:rsidP="004E4E41">
      <w:pPr>
        <w:pStyle w:val="ListBullet"/>
      </w:pPr>
      <w:r>
        <w:t>Some Half Hourly Data Collectors may not undertake manual reads where the meter is unable to remotely dial.</w:t>
      </w:r>
    </w:p>
    <w:p w14:paraId="63026025" w14:textId="77777777" w:rsidR="004E4E41" w:rsidRDefault="004E4E41" w:rsidP="004E4E41">
      <w:pPr>
        <w:pStyle w:val="ListBullet"/>
      </w:pPr>
      <w:r>
        <w:t>Some HHMOAs do not install alternative comm</w:t>
      </w:r>
      <w:r w:rsidR="00696A69">
        <w:t>unications</w:t>
      </w:r>
      <w:r>
        <w:t xml:space="preserve"> on sites where the cost of doing so is prohibitive.</w:t>
      </w:r>
    </w:p>
    <w:p w14:paraId="6D2F5D1B" w14:textId="77777777" w:rsidR="004E4E41" w:rsidRDefault="004E4E41" w:rsidP="004E4E41">
      <w:pPr>
        <w:pStyle w:val="ListBullet"/>
      </w:pPr>
      <w:r>
        <w:t>Some HHDCs are not completing HHDC Annual Site visits.</w:t>
      </w:r>
    </w:p>
    <w:p w14:paraId="4D13C3B4" w14:textId="77777777" w:rsidR="00696A69" w:rsidRDefault="00696A69" w:rsidP="00696A69">
      <w:pPr>
        <w:pStyle w:val="ListBullet"/>
        <w:numPr>
          <w:ilvl w:val="0"/>
          <w:numId w:val="0"/>
        </w:numPr>
        <w:ind w:left="1021" w:hanging="397"/>
      </w:pPr>
    </w:p>
    <w:p w14:paraId="0A47A3A4" w14:textId="77777777" w:rsidR="00696A69" w:rsidRDefault="009B442D" w:rsidP="00696A69">
      <w:pPr>
        <w:spacing w:after="0" w:line="240" w:lineRule="auto"/>
      </w:pPr>
      <w:r>
        <w:t>ELEXON</w:t>
      </w:r>
      <w:r w:rsidR="00696A69">
        <w:t xml:space="preserve"> proposes to carry out short term investigations and analysis across key stakeholders in order to establish a view of Settlement Impact, with a proposed completion in Quarter 2 in the current PAOP (July-September 2020). At this point, </w:t>
      </w:r>
      <w:r>
        <w:t>ELEXON</w:t>
      </w:r>
      <w:r w:rsidR="00696A69">
        <w:t xml:space="preserve"> will present findings to PAB and determine next actions, </w:t>
      </w:r>
      <w:r w:rsidR="006B60C7">
        <w:t xml:space="preserve">to set a Target impact for this Risk event (if any) </w:t>
      </w:r>
      <w:r w:rsidR="00696A69">
        <w:t xml:space="preserve">any required PAT deployment or if the issue should be removed from focus.  </w:t>
      </w:r>
    </w:p>
    <w:p w14:paraId="795D767C" w14:textId="77777777" w:rsidR="00511003" w:rsidRDefault="00511003" w:rsidP="00511003">
      <w:pPr>
        <w:pStyle w:val="BodyText"/>
      </w:pPr>
    </w:p>
    <w:p w14:paraId="11975DD3" w14:textId="77777777" w:rsidR="00511003" w:rsidRDefault="009269A3" w:rsidP="00E901D4">
      <w:pPr>
        <w:pStyle w:val="Boldheading"/>
      </w:pPr>
      <w:r>
        <w:t>Ongoing</w:t>
      </w:r>
      <w:r w:rsidR="00511003">
        <w:t xml:space="preserve"> PAT Deployment</w:t>
      </w:r>
    </w:p>
    <w:p w14:paraId="76F714FB" w14:textId="77777777" w:rsidR="00511003" w:rsidRDefault="00511003" w:rsidP="00511003">
      <w:pPr>
        <w:pStyle w:val="BodyText"/>
      </w:pPr>
      <w:r>
        <w:t>EFR</w:t>
      </w:r>
      <w:r w:rsidR="00696A69">
        <w:t xml:space="preserve"> </w:t>
      </w:r>
    </w:p>
    <w:p w14:paraId="7FECDD43" w14:textId="77777777" w:rsidR="00511003" w:rsidRDefault="00511003" w:rsidP="00511003">
      <w:pPr>
        <w:pStyle w:val="BodyText"/>
      </w:pPr>
      <w:r>
        <w:t>BSC Audit</w:t>
      </w:r>
    </w:p>
    <w:p w14:paraId="3CF14BC0" w14:textId="77777777" w:rsidR="00511003" w:rsidRDefault="00511003" w:rsidP="00E901D4">
      <w:pPr>
        <w:pStyle w:val="Boldheading"/>
      </w:pPr>
      <w:r w:rsidRPr="003A4EED">
        <w:t>Planned additional deployment</w:t>
      </w:r>
    </w:p>
    <w:p w14:paraId="0FF3DAB2" w14:textId="77777777" w:rsidR="00511003" w:rsidRDefault="00511003" w:rsidP="00511003">
      <w:pPr>
        <w:pStyle w:val="BodyText"/>
      </w:pPr>
      <w:r>
        <w:t>Analysis</w:t>
      </w:r>
    </w:p>
    <w:p w14:paraId="19199F41" w14:textId="77777777" w:rsidR="00511003" w:rsidRDefault="00511003" w:rsidP="007E0BB2">
      <w:pPr>
        <w:pStyle w:val="Heading"/>
      </w:pPr>
    </w:p>
    <w:p w14:paraId="06FF4A1F" w14:textId="77777777" w:rsidR="00511003" w:rsidRDefault="00511003" w:rsidP="007E0BB2">
      <w:pPr>
        <w:pStyle w:val="Heading"/>
      </w:pPr>
    </w:p>
    <w:p w14:paraId="0ACB4202" w14:textId="77777777" w:rsidR="00511003" w:rsidRDefault="00511003" w:rsidP="007E0BB2">
      <w:pPr>
        <w:pStyle w:val="Heading"/>
      </w:pPr>
    </w:p>
    <w:p w14:paraId="32B009CA" w14:textId="77777777" w:rsidR="00511003" w:rsidRDefault="00511003" w:rsidP="007E0BB2">
      <w:pPr>
        <w:pStyle w:val="Heading"/>
      </w:pPr>
    </w:p>
    <w:p w14:paraId="267453AA" w14:textId="77777777" w:rsidR="00511003" w:rsidRDefault="00511003" w:rsidP="007E0BB2">
      <w:pPr>
        <w:pStyle w:val="Heading"/>
      </w:pPr>
    </w:p>
    <w:p w14:paraId="57BA6CF5" w14:textId="77777777" w:rsidR="00511003" w:rsidRDefault="00511003" w:rsidP="007E0BB2">
      <w:pPr>
        <w:pStyle w:val="Heading"/>
      </w:pPr>
    </w:p>
    <w:p w14:paraId="25F2E8CB" w14:textId="77777777" w:rsidR="006B60C7" w:rsidRPr="000A5589" w:rsidRDefault="006B60C7" w:rsidP="006B60C7">
      <w:pPr>
        <w:pStyle w:val="BodyText"/>
        <w:rPr>
          <w:b/>
        </w:rPr>
      </w:pPr>
      <w:r>
        <w:rPr>
          <w:b/>
        </w:rPr>
        <w:t>Event 011</w:t>
      </w:r>
      <w:r w:rsidRPr="000A5589">
        <w:rPr>
          <w:b/>
        </w:rPr>
        <w:t xml:space="preserve"> – </w:t>
      </w:r>
      <w:r>
        <w:rPr>
          <w:b/>
        </w:rPr>
        <w:t>Party Failure</w:t>
      </w:r>
    </w:p>
    <w:p w14:paraId="72D97BE6" w14:textId="77777777" w:rsidR="001F160E" w:rsidRDefault="001F160E" w:rsidP="001F160E">
      <w:pPr>
        <w:pStyle w:val="BodyText"/>
      </w:pPr>
      <w:r>
        <w:t>This Risk event incorporates issues relating to</w:t>
      </w:r>
      <w:r w:rsidR="00394E69">
        <w:t xml:space="preserve"> BSC parties which cease trading</w:t>
      </w:r>
      <w:r>
        <w:t xml:space="preserve">, which may affect multiple settlement risks.   </w:t>
      </w:r>
    </w:p>
    <w:p w14:paraId="1C7323B0" w14:textId="77777777" w:rsidR="006B60C7" w:rsidRDefault="006B60C7" w:rsidP="006B60C7">
      <w:pPr>
        <w:pStyle w:val="BodyText"/>
      </w:pPr>
      <w:r>
        <w:t>Risk Impact - TBC</w:t>
      </w:r>
    </w:p>
    <w:p w14:paraId="082CD79B" w14:textId="77777777" w:rsidR="006B60C7" w:rsidRDefault="006B60C7" w:rsidP="006B60C7">
      <w:pPr>
        <w:pStyle w:val="BodyText"/>
      </w:pPr>
      <w:r>
        <w:t>Risk Volatility – TBC</w:t>
      </w:r>
    </w:p>
    <w:p w14:paraId="3B57FF6B" w14:textId="77777777" w:rsidR="006B60C7" w:rsidRDefault="006B60C7" w:rsidP="006B60C7">
      <w:pPr>
        <w:pStyle w:val="BodyText"/>
      </w:pPr>
      <w:r>
        <w:t>Target Impact - TBC</w:t>
      </w:r>
    </w:p>
    <w:p w14:paraId="39EE88DC" w14:textId="77777777" w:rsidR="006B60C7" w:rsidRPr="00AF4D47" w:rsidRDefault="006B60C7" w:rsidP="006B60C7">
      <w:pPr>
        <w:pStyle w:val="BodyText"/>
      </w:pPr>
    </w:p>
    <w:p w14:paraId="0F05235C" w14:textId="77777777" w:rsidR="006B60C7" w:rsidRDefault="009B442D" w:rsidP="006B60C7">
      <w:pPr>
        <w:pStyle w:val="BodyText"/>
      </w:pPr>
      <w:r>
        <w:t>ELEXON</w:t>
      </w:r>
      <w:r w:rsidR="006B60C7">
        <w:t xml:space="preserve"> is proposing to focus on this risk event due to the increase in Party Failures and to establish more control and guidance to parties, to mitigate any inherent risk to Settlement performance. </w:t>
      </w:r>
    </w:p>
    <w:p w14:paraId="532A462E" w14:textId="77777777" w:rsidR="00B63225" w:rsidRDefault="009B442D" w:rsidP="006B60C7">
      <w:pPr>
        <w:spacing w:after="0" w:line="240" w:lineRule="auto"/>
      </w:pPr>
      <w:r>
        <w:t>ELEXON</w:t>
      </w:r>
      <w:r w:rsidR="006B60C7">
        <w:t xml:space="preserve"> will carry out further analysis into the impact of Supplier of Last Resort</w:t>
      </w:r>
      <w:r w:rsidR="00B63225">
        <w:t xml:space="preserve"> (SoLR)</w:t>
      </w:r>
      <w:r w:rsidR="006B60C7">
        <w:t xml:space="preserve"> events on Settlement performance. The potential areas for risk </w:t>
      </w:r>
      <w:r w:rsidR="00B63225">
        <w:t>invest</w:t>
      </w:r>
      <w:r w:rsidR="005A6AB1">
        <w:t>i</w:t>
      </w:r>
      <w:r w:rsidR="00B63225">
        <w:t xml:space="preserve">gations </w:t>
      </w:r>
      <w:r w:rsidR="005A6AB1">
        <w:t>are;-</w:t>
      </w:r>
    </w:p>
    <w:p w14:paraId="17D330AC" w14:textId="77777777" w:rsidR="00B63225" w:rsidRDefault="00B63225" w:rsidP="006B60C7">
      <w:pPr>
        <w:spacing w:after="0" w:line="240" w:lineRule="auto"/>
      </w:pPr>
    </w:p>
    <w:p w14:paraId="1BFF07C9" w14:textId="77777777" w:rsidR="006B60C7" w:rsidRDefault="006B60C7" w:rsidP="006B60C7">
      <w:pPr>
        <w:spacing w:after="0" w:line="240" w:lineRule="auto"/>
      </w:pPr>
      <w:r>
        <w:t xml:space="preserve"> </w:t>
      </w:r>
    </w:p>
    <w:p w14:paraId="21DA6092" w14:textId="77777777" w:rsidR="006B60C7" w:rsidRDefault="00B63225" w:rsidP="006B60C7">
      <w:pPr>
        <w:pStyle w:val="ListBullet"/>
      </w:pPr>
      <w:r>
        <w:t>Supplier Agents, and the ability for incumbent suppliers to manage data with Agents of failed parties</w:t>
      </w:r>
    </w:p>
    <w:p w14:paraId="51B77D81" w14:textId="77777777" w:rsidR="006B60C7" w:rsidRDefault="00B63225" w:rsidP="006B60C7">
      <w:pPr>
        <w:pStyle w:val="ListBullet"/>
      </w:pPr>
      <w:r>
        <w:t>The masking of poor performance within SoLR portfolios</w:t>
      </w:r>
    </w:p>
    <w:p w14:paraId="0756AE1C" w14:textId="77777777" w:rsidR="006B60C7" w:rsidRDefault="00B63225" w:rsidP="006B60C7">
      <w:pPr>
        <w:pStyle w:val="ListBullet"/>
      </w:pPr>
      <w:r>
        <w:t>Establishing a feedback loop to Ofgem regarding the impacts to settlement</w:t>
      </w:r>
    </w:p>
    <w:p w14:paraId="23621F65" w14:textId="77777777" w:rsidR="006B60C7" w:rsidRDefault="00B63225" w:rsidP="006B60C7">
      <w:pPr>
        <w:pStyle w:val="ListBullet"/>
      </w:pPr>
      <w:r>
        <w:t>Reviewing Credit arrangements</w:t>
      </w:r>
    </w:p>
    <w:p w14:paraId="065B3A84" w14:textId="77777777" w:rsidR="00B63225" w:rsidRDefault="00B63225" w:rsidP="006B60C7">
      <w:pPr>
        <w:pStyle w:val="ListBullet"/>
      </w:pPr>
      <w:r>
        <w:t xml:space="preserve">Expanding guidance for </w:t>
      </w:r>
      <w:r w:rsidR="00AE70AB">
        <w:t>P</w:t>
      </w:r>
      <w:r>
        <w:t>arties on SoLR management</w:t>
      </w:r>
    </w:p>
    <w:p w14:paraId="74E07EBD" w14:textId="77777777" w:rsidR="006B60C7" w:rsidRDefault="006B60C7" w:rsidP="006B60C7">
      <w:pPr>
        <w:pStyle w:val="ListBullet"/>
        <w:numPr>
          <w:ilvl w:val="0"/>
          <w:numId w:val="0"/>
        </w:numPr>
        <w:ind w:left="1021" w:hanging="397"/>
      </w:pPr>
    </w:p>
    <w:p w14:paraId="636B1FFB" w14:textId="77777777" w:rsidR="006B60C7" w:rsidRDefault="009B442D" w:rsidP="006B60C7">
      <w:pPr>
        <w:spacing w:after="0" w:line="240" w:lineRule="auto"/>
      </w:pPr>
      <w:r>
        <w:t>ELEXON</w:t>
      </w:r>
      <w:r w:rsidR="006B60C7">
        <w:t xml:space="preserve"> proposes to carry out short term investigations and analysis across key stakeholders in order to establish a view of Settlement Impact, with a proposed completion in Quarter </w:t>
      </w:r>
      <w:r w:rsidR="00B63225">
        <w:t>3</w:t>
      </w:r>
      <w:r w:rsidR="006B60C7">
        <w:t xml:space="preserve"> in the current PAOP (</w:t>
      </w:r>
      <w:r w:rsidR="00B63225">
        <w:t>Oct - December</w:t>
      </w:r>
      <w:r w:rsidR="006B60C7">
        <w:t xml:space="preserve"> 2020). At this point, </w:t>
      </w:r>
      <w:r>
        <w:t>ELEXON</w:t>
      </w:r>
      <w:r w:rsidR="006B60C7">
        <w:t xml:space="preserve"> will present findings to PAB and determine next actions, to set a Target impact for this Risk event (if any) any required PAT deployment or if the issue should be removed from focus.  </w:t>
      </w:r>
    </w:p>
    <w:p w14:paraId="1FB6BBD3" w14:textId="77777777" w:rsidR="005A6AB1" w:rsidRDefault="005A6AB1" w:rsidP="006B60C7">
      <w:pPr>
        <w:spacing w:after="0" w:line="240" w:lineRule="auto"/>
      </w:pPr>
    </w:p>
    <w:p w14:paraId="405046BF" w14:textId="5F419830" w:rsidR="005A6AB1" w:rsidRDefault="005A6AB1" w:rsidP="006B60C7">
      <w:pPr>
        <w:spacing w:after="0" w:line="240" w:lineRule="auto"/>
      </w:pPr>
      <w:r>
        <w:t xml:space="preserve">This Risk event will be managed by the Risk Team </w:t>
      </w:r>
      <w:r w:rsidR="003F70B3">
        <w:t>w</w:t>
      </w:r>
      <w:r>
        <w:t>ith suppo</w:t>
      </w:r>
      <w:r w:rsidR="003F70B3">
        <w:t>rt from Risk Owners for Risk 001, Risk 007</w:t>
      </w:r>
      <w:r>
        <w:t>, Risk 010, and Risk 014</w:t>
      </w:r>
    </w:p>
    <w:p w14:paraId="62B6F6F5" w14:textId="77777777" w:rsidR="006B60C7" w:rsidRDefault="006B60C7" w:rsidP="006B60C7">
      <w:pPr>
        <w:pStyle w:val="BodyText"/>
      </w:pPr>
    </w:p>
    <w:p w14:paraId="202D1296" w14:textId="77777777" w:rsidR="006B60C7" w:rsidRDefault="009269A3" w:rsidP="00E901D4">
      <w:pPr>
        <w:pStyle w:val="Boldheading"/>
      </w:pPr>
      <w:r>
        <w:t>Ongoing</w:t>
      </w:r>
      <w:r w:rsidR="006B60C7">
        <w:t xml:space="preserve"> PAT Deployment</w:t>
      </w:r>
    </w:p>
    <w:p w14:paraId="7C2EC873" w14:textId="77777777" w:rsidR="006B60C7" w:rsidRDefault="006B60C7" w:rsidP="006B60C7">
      <w:pPr>
        <w:pStyle w:val="BodyText"/>
      </w:pPr>
      <w:r>
        <w:t xml:space="preserve">EFR </w:t>
      </w:r>
    </w:p>
    <w:p w14:paraId="29CCDA51" w14:textId="77777777" w:rsidR="006B60C7" w:rsidRDefault="006B60C7" w:rsidP="006B60C7">
      <w:pPr>
        <w:pStyle w:val="BodyText"/>
      </w:pPr>
      <w:r>
        <w:t>BSC Audit</w:t>
      </w:r>
    </w:p>
    <w:p w14:paraId="32E016B0" w14:textId="77777777" w:rsidR="006B60C7" w:rsidRDefault="006B60C7" w:rsidP="00E901D4">
      <w:pPr>
        <w:pStyle w:val="Boldheading"/>
      </w:pPr>
      <w:r w:rsidRPr="003A4EED">
        <w:t>Planned additional deployment</w:t>
      </w:r>
    </w:p>
    <w:p w14:paraId="59D33FCB" w14:textId="77777777" w:rsidR="006B60C7" w:rsidRDefault="006B60C7" w:rsidP="006B60C7">
      <w:pPr>
        <w:pStyle w:val="BodyText"/>
      </w:pPr>
      <w:r>
        <w:t>Analysis</w:t>
      </w:r>
    </w:p>
    <w:p w14:paraId="18433121" w14:textId="77777777" w:rsidR="00B63225" w:rsidRDefault="00B63225" w:rsidP="006B60C7">
      <w:pPr>
        <w:pStyle w:val="BodyText"/>
      </w:pPr>
      <w:r>
        <w:t>Education</w:t>
      </w:r>
    </w:p>
    <w:p w14:paraId="64C0856B" w14:textId="77777777" w:rsidR="00B63225" w:rsidRDefault="00B63225" w:rsidP="006B60C7">
      <w:pPr>
        <w:pStyle w:val="BodyText"/>
      </w:pPr>
    </w:p>
    <w:p w14:paraId="48CB502F" w14:textId="77777777" w:rsidR="00511003" w:rsidRDefault="00511003" w:rsidP="007E0BB2">
      <w:pPr>
        <w:pStyle w:val="Heading"/>
      </w:pPr>
    </w:p>
    <w:p w14:paraId="3ACFEDA5" w14:textId="77777777" w:rsidR="006B60C7" w:rsidRDefault="006B60C7" w:rsidP="006B60C7">
      <w:pPr>
        <w:pStyle w:val="BodyText"/>
      </w:pPr>
    </w:p>
    <w:p w14:paraId="55DCB339" w14:textId="77777777" w:rsidR="006B60C7" w:rsidRDefault="006B60C7" w:rsidP="006B60C7">
      <w:pPr>
        <w:pStyle w:val="BodyText"/>
      </w:pPr>
    </w:p>
    <w:p w14:paraId="0ED47B36" w14:textId="77777777" w:rsidR="006B60C7" w:rsidRDefault="006B60C7" w:rsidP="006B60C7">
      <w:pPr>
        <w:pStyle w:val="BodyText"/>
      </w:pPr>
    </w:p>
    <w:p w14:paraId="08877081" w14:textId="77777777" w:rsidR="005A6AB1" w:rsidRPr="000A5589" w:rsidRDefault="005A6AB1" w:rsidP="005A6AB1">
      <w:pPr>
        <w:pStyle w:val="BodyText"/>
        <w:rPr>
          <w:b/>
        </w:rPr>
      </w:pPr>
      <w:r>
        <w:rPr>
          <w:b/>
        </w:rPr>
        <w:t>Event 020</w:t>
      </w:r>
      <w:r w:rsidRPr="000A5589">
        <w:rPr>
          <w:b/>
        </w:rPr>
        <w:t xml:space="preserve"> – </w:t>
      </w:r>
      <w:r>
        <w:rPr>
          <w:b/>
        </w:rPr>
        <w:t>CVA Market</w:t>
      </w:r>
    </w:p>
    <w:p w14:paraId="4EF3CCF2" w14:textId="77777777" w:rsidR="00394E69" w:rsidRDefault="00394E69" w:rsidP="005A6AB1">
      <w:pPr>
        <w:pStyle w:val="BodyText"/>
      </w:pPr>
      <w:r>
        <w:t>This is a new Risk Event, created to manage the entirety of the CVA Market</w:t>
      </w:r>
      <w:r w:rsidR="00F170BA">
        <w:t xml:space="preserve"> risk</w:t>
      </w:r>
      <w:r w:rsidR="00E94535">
        <w:t>s</w:t>
      </w:r>
      <w:r>
        <w:t xml:space="preserve"> as one issue, for an agreed period. </w:t>
      </w:r>
    </w:p>
    <w:p w14:paraId="7A0A2FB6" w14:textId="77777777" w:rsidR="00394E69" w:rsidRDefault="00394E69" w:rsidP="005A6AB1">
      <w:pPr>
        <w:pStyle w:val="BodyText"/>
      </w:pPr>
    </w:p>
    <w:p w14:paraId="73D5441D" w14:textId="77777777" w:rsidR="005A6AB1" w:rsidRDefault="005A6AB1" w:rsidP="005A6AB1">
      <w:pPr>
        <w:pStyle w:val="BodyText"/>
      </w:pPr>
      <w:r>
        <w:t>Risk Impact – (Combined impact of 15 CVA Risks) - £112m</w:t>
      </w:r>
    </w:p>
    <w:p w14:paraId="57A2F50F" w14:textId="77777777" w:rsidR="005A6AB1" w:rsidRDefault="005A6AB1" w:rsidP="005A6AB1">
      <w:pPr>
        <w:pStyle w:val="BodyText"/>
      </w:pPr>
      <w:r>
        <w:t xml:space="preserve">Risk Volatility – </w:t>
      </w:r>
      <w:r w:rsidR="00394E69">
        <w:t>(Combined Market) Medium</w:t>
      </w:r>
    </w:p>
    <w:p w14:paraId="21A02947" w14:textId="77777777" w:rsidR="005A6AB1" w:rsidRDefault="005A6AB1" w:rsidP="005A6AB1">
      <w:pPr>
        <w:pStyle w:val="BodyText"/>
      </w:pPr>
      <w:r>
        <w:t xml:space="preserve">Target Impact – (Combined reduction of </w:t>
      </w:r>
      <w:r w:rsidR="00394E69">
        <w:t>15</w:t>
      </w:r>
      <w:r w:rsidR="00C03B5D">
        <w:t xml:space="preserve"> CVA Risks) - £63m</w:t>
      </w:r>
    </w:p>
    <w:p w14:paraId="185C40B1" w14:textId="77777777" w:rsidR="005A6AB1" w:rsidRPr="00AF4D47" w:rsidRDefault="005A6AB1" w:rsidP="005A6AB1">
      <w:pPr>
        <w:pStyle w:val="BodyText"/>
      </w:pPr>
    </w:p>
    <w:p w14:paraId="262A8D1C" w14:textId="77777777" w:rsidR="005A6AB1" w:rsidRDefault="009B442D" w:rsidP="00C03B5D">
      <w:pPr>
        <w:pStyle w:val="BodyText"/>
      </w:pPr>
      <w:r>
        <w:t>ELEXON</w:t>
      </w:r>
      <w:r w:rsidR="005A6AB1">
        <w:t xml:space="preserve"> </w:t>
      </w:r>
      <w:r w:rsidR="00C03B5D">
        <w:t xml:space="preserve">has considered the impact of CVA Risks across the market and have noted concerns raised by PAB regarding a lack of Performance Assurance data available for this market segment. This impacts the ability of PAB to manage performance assurance concerns. Furthermore, in developing reporting in this area, </w:t>
      </w:r>
      <w:r>
        <w:t>ELEXON</w:t>
      </w:r>
      <w:r w:rsidR="00C03B5D">
        <w:t xml:space="preserve"> believes it will be able to mitigate a large element of calculated impact, via more accurate assessment of risk, a clearer flagging of issues and more visibility to the CVA market of our monitoring of risk in this area. </w:t>
      </w:r>
    </w:p>
    <w:p w14:paraId="49743799" w14:textId="14887361" w:rsidR="00C03B5D" w:rsidRDefault="003F70B3" w:rsidP="00C03B5D">
      <w:pPr>
        <w:pStyle w:val="BodyText"/>
      </w:pPr>
      <w:r>
        <w:t>In addition, each CVA Risk O</w:t>
      </w:r>
      <w:r w:rsidR="00C03B5D">
        <w:t>wner has specific mitigations in place for each CVA risk, which will further support the reduction of impact in this area. Mitigations include</w:t>
      </w:r>
    </w:p>
    <w:p w14:paraId="0A85CCEA" w14:textId="77777777" w:rsidR="00394E69" w:rsidRDefault="00394E69" w:rsidP="00C03B5D">
      <w:pPr>
        <w:pStyle w:val="BodyText"/>
      </w:pPr>
    </w:p>
    <w:p w14:paraId="4A12E8CD" w14:textId="77777777" w:rsidR="005A6AB1" w:rsidRDefault="0014539C" w:rsidP="0014539C">
      <w:pPr>
        <w:pStyle w:val="BodyText"/>
      </w:pPr>
      <w:r>
        <w:t xml:space="preserve">Risk 021 - </w:t>
      </w:r>
      <w:r w:rsidRPr="0014539C">
        <w:t>CVA metered data is not retrieved, or processed correctly, or at all, by the CDCA</w:t>
      </w:r>
    </w:p>
    <w:p w14:paraId="5279D85D" w14:textId="77777777" w:rsidR="005A6AB1" w:rsidRDefault="005A6AB1" w:rsidP="005A6AB1">
      <w:pPr>
        <w:spacing w:after="0" w:line="240" w:lineRule="auto"/>
      </w:pPr>
      <w:r>
        <w:t xml:space="preserve"> </w:t>
      </w:r>
    </w:p>
    <w:p w14:paraId="276E4419" w14:textId="77777777" w:rsidR="0014539C" w:rsidRPr="0014539C" w:rsidRDefault="0014539C" w:rsidP="005A6AB1">
      <w:pPr>
        <w:pStyle w:val="ListBullet"/>
      </w:pPr>
      <w:r>
        <w:rPr>
          <w:color w:val="000000"/>
        </w:rPr>
        <w:t>Implementation of recommendations from Issue 75 group to improve CDCA Contract</w:t>
      </w:r>
    </w:p>
    <w:p w14:paraId="4C374487" w14:textId="77777777" w:rsidR="0014539C" w:rsidRPr="0014539C" w:rsidRDefault="0014539C" w:rsidP="005A6AB1">
      <w:pPr>
        <w:pStyle w:val="ListBullet"/>
      </w:pPr>
      <w:r>
        <w:rPr>
          <w:color w:val="000000"/>
        </w:rPr>
        <w:t>Encourage and promote uptake of IP Comms for new and existing installations</w:t>
      </w:r>
    </w:p>
    <w:p w14:paraId="7F4CD9E3" w14:textId="77777777" w:rsidR="005A6AB1" w:rsidRDefault="0014539C" w:rsidP="0014539C">
      <w:pPr>
        <w:pStyle w:val="ListBullet"/>
        <w:numPr>
          <w:ilvl w:val="0"/>
          <w:numId w:val="0"/>
        </w:numPr>
        <w:ind w:left="624"/>
      </w:pPr>
      <w:r>
        <w:rPr>
          <w:color w:val="000000"/>
        </w:rPr>
        <w:t xml:space="preserve"> </w:t>
      </w:r>
    </w:p>
    <w:p w14:paraId="424FDA6B" w14:textId="77777777" w:rsidR="0014539C" w:rsidRDefault="0014539C" w:rsidP="0014539C">
      <w:pPr>
        <w:pStyle w:val="BodyText"/>
      </w:pPr>
      <w:r>
        <w:t xml:space="preserve">Risk 023 - </w:t>
      </w:r>
      <w:r w:rsidRPr="0014539C">
        <w:t>A fault with CVA Metering Equipment causes metered data to be recorded incorrectly or cannot be retrieved</w:t>
      </w:r>
      <w:r>
        <w:t xml:space="preserve"> </w:t>
      </w:r>
    </w:p>
    <w:p w14:paraId="0C7B0594" w14:textId="77777777" w:rsidR="0014539C" w:rsidRPr="0014539C" w:rsidRDefault="0014539C" w:rsidP="0014539C">
      <w:pPr>
        <w:pStyle w:val="ListBullet"/>
      </w:pPr>
      <w:r>
        <w:rPr>
          <w:color w:val="000000"/>
        </w:rPr>
        <w:t xml:space="preserve">ELEXON to raise BSCP03 change to update estimation method for OTCPs (7 sites). </w:t>
      </w:r>
    </w:p>
    <w:p w14:paraId="6691B5E9" w14:textId="77777777" w:rsidR="0014539C" w:rsidRPr="0014539C" w:rsidRDefault="0014539C" w:rsidP="0014539C">
      <w:pPr>
        <w:pStyle w:val="ListBullet"/>
      </w:pPr>
      <w:r>
        <w:rPr>
          <w:color w:val="000000"/>
        </w:rPr>
        <w:t>Encourage and promote uptake of IP Comms for new and existing installations</w:t>
      </w:r>
    </w:p>
    <w:p w14:paraId="7EFC9FDB" w14:textId="77777777" w:rsidR="0014539C" w:rsidRPr="0014539C" w:rsidRDefault="0014539C" w:rsidP="0014539C">
      <w:pPr>
        <w:pStyle w:val="ListBullet"/>
      </w:pPr>
      <w:r>
        <w:rPr>
          <w:color w:val="000000"/>
        </w:rPr>
        <w:t>Improvements to Fault Log, improving efficiencies and</w:t>
      </w:r>
      <w:r w:rsidR="007D1040">
        <w:rPr>
          <w:color w:val="000000"/>
        </w:rPr>
        <w:t xml:space="preserve"> creating escalations</w:t>
      </w:r>
    </w:p>
    <w:p w14:paraId="3C8D8A32" w14:textId="77777777" w:rsidR="005A6AB1" w:rsidRDefault="005A6AB1" w:rsidP="005A6AB1">
      <w:pPr>
        <w:pStyle w:val="ListBullet"/>
        <w:numPr>
          <w:ilvl w:val="0"/>
          <w:numId w:val="0"/>
        </w:numPr>
        <w:ind w:left="1021" w:hanging="397"/>
      </w:pPr>
    </w:p>
    <w:p w14:paraId="1CFB80E6" w14:textId="77777777" w:rsidR="005A6AB1" w:rsidRDefault="009B442D" w:rsidP="005A6AB1">
      <w:pPr>
        <w:spacing w:after="0" w:line="240" w:lineRule="auto"/>
      </w:pPr>
      <w:r>
        <w:t>ELEXON</w:t>
      </w:r>
      <w:r w:rsidR="005A6AB1">
        <w:t xml:space="preserve"> proposes to carry out short term investigation</w:t>
      </w:r>
      <w:r w:rsidR="007D1040">
        <w:t xml:space="preserve">s </w:t>
      </w:r>
      <w:r w:rsidR="005A6AB1">
        <w:t xml:space="preserve">in order to establish </w:t>
      </w:r>
      <w:r w:rsidR="007D1040">
        <w:t>Performance Assurance reporting</w:t>
      </w:r>
      <w:r w:rsidR="005A6AB1">
        <w:t xml:space="preserve">, with a proposed completion in Quarter 3 in the current PAOP (Oct - December 2020). At this point, </w:t>
      </w:r>
      <w:r>
        <w:t>ELEXON</w:t>
      </w:r>
      <w:r w:rsidR="007D1040">
        <w:t xml:space="preserve"> will seek to incorporate PA Reporting to</w:t>
      </w:r>
      <w:r w:rsidR="005A6AB1">
        <w:t xml:space="preserve"> PAB </w:t>
      </w:r>
      <w:r w:rsidR="007D1040">
        <w:t xml:space="preserve">on a regular basis </w:t>
      </w:r>
      <w:r w:rsidR="005A6AB1">
        <w:t>and determine next actions, to set a Target impact for this Risk event (if a</w:t>
      </w:r>
      <w:r w:rsidR="007D1040">
        <w:t>ny) any required PAT deployment.</w:t>
      </w:r>
    </w:p>
    <w:p w14:paraId="778CBE22" w14:textId="77777777" w:rsidR="007D1040" w:rsidRDefault="007D1040" w:rsidP="005A6AB1">
      <w:pPr>
        <w:spacing w:after="0" w:line="240" w:lineRule="auto"/>
      </w:pPr>
    </w:p>
    <w:p w14:paraId="6D672299" w14:textId="77777777" w:rsidR="005A6AB1" w:rsidRDefault="005A6AB1" w:rsidP="005A6AB1">
      <w:pPr>
        <w:spacing w:after="0" w:line="240" w:lineRule="auto"/>
      </w:pPr>
      <w:r>
        <w:t>This Risk event wi</w:t>
      </w:r>
      <w:r w:rsidR="007D1040">
        <w:t>ll be managed by the Risk Team w</w:t>
      </w:r>
      <w:r>
        <w:t>ith support from Risk Owners for Risk</w:t>
      </w:r>
      <w:r w:rsidR="007D1040">
        <w:t>s 019 -03</w:t>
      </w:r>
      <w:r>
        <w:t>4</w:t>
      </w:r>
    </w:p>
    <w:p w14:paraId="28A7385A" w14:textId="77777777" w:rsidR="005A6AB1" w:rsidRDefault="005A6AB1" w:rsidP="005A6AB1">
      <w:pPr>
        <w:pStyle w:val="BodyText"/>
      </w:pPr>
    </w:p>
    <w:p w14:paraId="32299669" w14:textId="77777777" w:rsidR="005A6AB1" w:rsidRDefault="009269A3" w:rsidP="00E901D4">
      <w:pPr>
        <w:pStyle w:val="Boldheading"/>
      </w:pPr>
      <w:r>
        <w:t>Ongoing</w:t>
      </w:r>
      <w:r w:rsidR="005A6AB1">
        <w:t xml:space="preserve"> PAT Deployment</w:t>
      </w:r>
    </w:p>
    <w:p w14:paraId="007BF917" w14:textId="77777777" w:rsidR="005A6AB1" w:rsidRDefault="005A6AB1" w:rsidP="005A6AB1">
      <w:pPr>
        <w:pStyle w:val="BodyText"/>
      </w:pPr>
      <w:r>
        <w:t>BSC Audit</w:t>
      </w:r>
    </w:p>
    <w:p w14:paraId="2F0F8AA6" w14:textId="77777777" w:rsidR="005A6AB1" w:rsidRDefault="005A6AB1" w:rsidP="00E901D4">
      <w:pPr>
        <w:pStyle w:val="Boldheading"/>
      </w:pPr>
      <w:r w:rsidRPr="003A4EED">
        <w:t>Planned additional deployment</w:t>
      </w:r>
    </w:p>
    <w:p w14:paraId="0246CAFE" w14:textId="77777777" w:rsidR="005A6AB1" w:rsidRDefault="005A6AB1" w:rsidP="005A6AB1">
      <w:pPr>
        <w:pStyle w:val="BodyText"/>
      </w:pPr>
      <w:r>
        <w:t>Analysis</w:t>
      </w:r>
    </w:p>
    <w:p w14:paraId="70E6123A" w14:textId="77777777" w:rsidR="00594593" w:rsidRDefault="005A6AB1" w:rsidP="006B60C7">
      <w:pPr>
        <w:pStyle w:val="BodyText"/>
        <w:sectPr w:rsidR="00594593" w:rsidSect="00990236">
          <w:pgSz w:w="11906" w:h="16838" w:code="9"/>
          <w:pgMar w:top="1162" w:right="794" w:bottom="1928" w:left="794" w:header="879" w:footer="539" w:gutter="0"/>
          <w:cols w:space="708"/>
          <w:titlePg/>
          <w:docGrid w:linePitch="360"/>
        </w:sectPr>
      </w:pPr>
      <w:r>
        <w:t>Education</w:t>
      </w:r>
    </w:p>
    <w:p w14:paraId="45563A1D" w14:textId="77777777" w:rsidR="00A2634F" w:rsidRDefault="00E901D4" w:rsidP="00A2634F">
      <w:pPr>
        <w:pStyle w:val="Heading"/>
      </w:pPr>
      <w:bookmarkStart w:id="18" w:name="_Toc35421321"/>
      <w:bookmarkStart w:id="19" w:name="_Toc467846894"/>
      <w:r>
        <w:t>Focussed Risks</w:t>
      </w:r>
      <w:r w:rsidR="00A2634F">
        <w:t xml:space="preserve"> Calendar</w:t>
      </w:r>
      <w:bookmarkEnd w:id="18"/>
    </w:p>
    <w:p w14:paraId="18004739" w14:textId="77777777" w:rsidR="00D578F1" w:rsidRPr="00D578F1" w:rsidRDefault="00D578F1" w:rsidP="00D578F1">
      <w:pPr>
        <w:pStyle w:val="Boldheading"/>
      </w:pPr>
    </w:p>
    <w:tbl>
      <w:tblPr>
        <w:tblW w:w="0" w:type="auto"/>
        <w:tblLook w:val="04A0" w:firstRow="1" w:lastRow="0" w:firstColumn="1" w:lastColumn="0" w:noHBand="0" w:noVBand="1"/>
      </w:tblPr>
      <w:tblGrid>
        <w:gridCol w:w="1252"/>
        <w:gridCol w:w="1252"/>
        <w:gridCol w:w="1252"/>
        <w:gridCol w:w="1448"/>
        <w:gridCol w:w="716"/>
        <w:gridCol w:w="776"/>
        <w:gridCol w:w="701"/>
        <w:gridCol w:w="647"/>
        <w:gridCol w:w="738"/>
        <w:gridCol w:w="721"/>
        <w:gridCol w:w="710"/>
        <w:gridCol w:w="746"/>
        <w:gridCol w:w="730"/>
        <w:gridCol w:w="692"/>
        <w:gridCol w:w="665"/>
        <w:gridCol w:w="697"/>
      </w:tblGrid>
      <w:tr w:rsidR="00D578F1" w:rsidRPr="00D578F1" w14:paraId="7999119D" w14:textId="77777777" w:rsidTr="00D578F1">
        <w:trPr>
          <w:trHeight w:val="300"/>
        </w:trPr>
        <w:tc>
          <w:tcPr>
            <w:tcW w:w="0" w:type="auto"/>
            <w:tcBorders>
              <w:top w:val="nil"/>
              <w:left w:val="nil"/>
              <w:bottom w:val="single" w:sz="4" w:space="0" w:color="auto"/>
              <w:right w:val="nil"/>
            </w:tcBorders>
            <w:shd w:val="clear" w:color="000000" w:fill="FFFFFF"/>
            <w:noWrap/>
            <w:vAlign w:val="bottom"/>
            <w:hideMark/>
          </w:tcPr>
          <w:p w14:paraId="5DB923A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2298D41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5C0D792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EEB91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603FB053"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PAOP Q1</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065C3B7E"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PAOP Q2</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1B63145C"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PAOP Q3</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4310E11E"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PAOP Q4</w:t>
            </w:r>
          </w:p>
        </w:tc>
      </w:tr>
      <w:tr w:rsidR="00D578F1" w:rsidRPr="00D578F1" w14:paraId="7F5A2AF4" w14:textId="77777777" w:rsidTr="00D578F1">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5AC73"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Focussed Risk/Event Name</w:t>
            </w:r>
          </w:p>
        </w:tc>
        <w:tc>
          <w:tcPr>
            <w:tcW w:w="0" w:type="auto"/>
            <w:tcBorders>
              <w:top w:val="nil"/>
              <w:left w:val="nil"/>
              <w:bottom w:val="single" w:sz="4" w:space="0" w:color="auto"/>
              <w:right w:val="single" w:sz="4" w:space="0" w:color="auto"/>
            </w:tcBorders>
            <w:shd w:val="clear" w:color="auto" w:fill="auto"/>
            <w:noWrap/>
            <w:vAlign w:val="bottom"/>
            <w:hideMark/>
          </w:tcPr>
          <w:p w14:paraId="0BF5675C"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Activity</w:t>
            </w:r>
          </w:p>
        </w:tc>
        <w:tc>
          <w:tcPr>
            <w:tcW w:w="0" w:type="auto"/>
            <w:tcBorders>
              <w:top w:val="nil"/>
              <w:left w:val="nil"/>
              <w:bottom w:val="single" w:sz="4" w:space="0" w:color="auto"/>
              <w:right w:val="single" w:sz="4" w:space="0" w:color="auto"/>
            </w:tcBorders>
            <w:shd w:val="clear" w:color="auto" w:fill="auto"/>
            <w:noWrap/>
            <w:vAlign w:val="bottom"/>
            <w:hideMark/>
          </w:tcPr>
          <w:p w14:paraId="608AF503"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Apr-20</w:t>
            </w:r>
          </w:p>
        </w:tc>
        <w:tc>
          <w:tcPr>
            <w:tcW w:w="0" w:type="auto"/>
            <w:tcBorders>
              <w:top w:val="nil"/>
              <w:left w:val="nil"/>
              <w:bottom w:val="single" w:sz="4" w:space="0" w:color="auto"/>
              <w:right w:val="single" w:sz="4" w:space="0" w:color="auto"/>
            </w:tcBorders>
            <w:shd w:val="clear" w:color="auto" w:fill="auto"/>
            <w:noWrap/>
            <w:vAlign w:val="bottom"/>
            <w:hideMark/>
          </w:tcPr>
          <w:p w14:paraId="4DE64BF9"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May-20</w:t>
            </w:r>
          </w:p>
        </w:tc>
        <w:tc>
          <w:tcPr>
            <w:tcW w:w="0" w:type="auto"/>
            <w:tcBorders>
              <w:top w:val="nil"/>
              <w:left w:val="nil"/>
              <w:bottom w:val="single" w:sz="4" w:space="0" w:color="auto"/>
              <w:right w:val="single" w:sz="4" w:space="0" w:color="auto"/>
            </w:tcBorders>
            <w:shd w:val="clear" w:color="auto" w:fill="auto"/>
            <w:noWrap/>
            <w:vAlign w:val="bottom"/>
            <w:hideMark/>
          </w:tcPr>
          <w:p w14:paraId="16FD5C7C"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Jun-20</w:t>
            </w:r>
          </w:p>
        </w:tc>
        <w:tc>
          <w:tcPr>
            <w:tcW w:w="0" w:type="auto"/>
            <w:tcBorders>
              <w:top w:val="nil"/>
              <w:left w:val="nil"/>
              <w:bottom w:val="single" w:sz="4" w:space="0" w:color="auto"/>
              <w:right w:val="single" w:sz="4" w:space="0" w:color="auto"/>
            </w:tcBorders>
            <w:shd w:val="clear" w:color="auto" w:fill="auto"/>
            <w:noWrap/>
            <w:vAlign w:val="bottom"/>
            <w:hideMark/>
          </w:tcPr>
          <w:p w14:paraId="10D1D066"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Jul-20</w:t>
            </w:r>
          </w:p>
        </w:tc>
        <w:tc>
          <w:tcPr>
            <w:tcW w:w="0" w:type="auto"/>
            <w:tcBorders>
              <w:top w:val="nil"/>
              <w:left w:val="nil"/>
              <w:bottom w:val="single" w:sz="4" w:space="0" w:color="auto"/>
              <w:right w:val="single" w:sz="4" w:space="0" w:color="auto"/>
            </w:tcBorders>
            <w:shd w:val="clear" w:color="auto" w:fill="auto"/>
            <w:noWrap/>
            <w:vAlign w:val="bottom"/>
            <w:hideMark/>
          </w:tcPr>
          <w:p w14:paraId="5C349A3E"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Aug-20</w:t>
            </w:r>
          </w:p>
        </w:tc>
        <w:tc>
          <w:tcPr>
            <w:tcW w:w="0" w:type="auto"/>
            <w:tcBorders>
              <w:top w:val="nil"/>
              <w:left w:val="nil"/>
              <w:bottom w:val="single" w:sz="4" w:space="0" w:color="auto"/>
              <w:right w:val="single" w:sz="4" w:space="0" w:color="auto"/>
            </w:tcBorders>
            <w:shd w:val="clear" w:color="auto" w:fill="auto"/>
            <w:noWrap/>
            <w:vAlign w:val="bottom"/>
            <w:hideMark/>
          </w:tcPr>
          <w:p w14:paraId="690E1769"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Sep-20</w:t>
            </w:r>
          </w:p>
        </w:tc>
        <w:tc>
          <w:tcPr>
            <w:tcW w:w="0" w:type="auto"/>
            <w:tcBorders>
              <w:top w:val="nil"/>
              <w:left w:val="nil"/>
              <w:bottom w:val="single" w:sz="4" w:space="0" w:color="auto"/>
              <w:right w:val="single" w:sz="4" w:space="0" w:color="auto"/>
            </w:tcBorders>
            <w:shd w:val="clear" w:color="auto" w:fill="auto"/>
            <w:noWrap/>
            <w:vAlign w:val="bottom"/>
            <w:hideMark/>
          </w:tcPr>
          <w:p w14:paraId="5CA4FDA5"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Oct-20</w:t>
            </w:r>
          </w:p>
        </w:tc>
        <w:tc>
          <w:tcPr>
            <w:tcW w:w="0" w:type="auto"/>
            <w:tcBorders>
              <w:top w:val="nil"/>
              <w:left w:val="nil"/>
              <w:bottom w:val="single" w:sz="4" w:space="0" w:color="auto"/>
              <w:right w:val="single" w:sz="4" w:space="0" w:color="auto"/>
            </w:tcBorders>
            <w:shd w:val="clear" w:color="auto" w:fill="auto"/>
            <w:noWrap/>
            <w:vAlign w:val="bottom"/>
            <w:hideMark/>
          </w:tcPr>
          <w:p w14:paraId="40A38F5D"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Nov-20</w:t>
            </w:r>
          </w:p>
        </w:tc>
        <w:tc>
          <w:tcPr>
            <w:tcW w:w="0" w:type="auto"/>
            <w:tcBorders>
              <w:top w:val="nil"/>
              <w:left w:val="nil"/>
              <w:bottom w:val="single" w:sz="4" w:space="0" w:color="auto"/>
              <w:right w:val="single" w:sz="4" w:space="0" w:color="auto"/>
            </w:tcBorders>
            <w:shd w:val="clear" w:color="auto" w:fill="auto"/>
            <w:noWrap/>
            <w:vAlign w:val="bottom"/>
            <w:hideMark/>
          </w:tcPr>
          <w:p w14:paraId="5DBFB641"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Dec-20</w:t>
            </w:r>
          </w:p>
        </w:tc>
        <w:tc>
          <w:tcPr>
            <w:tcW w:w="0" w:type="auto"/>
            <w:tcBorders>
              <w:top w:val="nil"/>
              <w:left w:val="nil"/>
              <w:bottom w:val="single" w:sz="4" w:space="0" w:color="auto"/>
              <w:right w:val="single" w:sz="4" w:space="0" w:color="auto"/>
            </w:tcBorders>
            <w:shd w:val="clear" w:color="auto" w:fill="auto"/>
            <w:noWrap/>
            <w:vAlign w:val="bottom"/>
            <w:hideMark/>
          </w:tcPr>
          <w:p w14:paraId="1EBFC2CB"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Jan-21</w:t>
            </w:r>
          </w:p>
        </w:tc>
        <w:tc>
          <w:tcPr>
            <w:tcW w:w="0" w:type="auto"/>
            <w:tcBorders>
              <w:top w:val="nil"/>
              <w:left w:val="nil"/>
              <w:bottom w:val="single" w:sz="4" w:space="0" w:color="auto"/>
              <w:right w:val="single" w:sz="4" w:space="0" w:color="auto"/>
            </w:tcBorders>
            <w:shd w:val="clear" w:color="auto" w:fill="auto"/>
            <w:noWrap/>
            <w:vAlign w:val="bottom"/>
            <w:hideMark/>
          </w:tcPr>
          <w:p w14:paraId="3DA09DCB" w14:textId="77777777" w:rsidR="00D578F1" w:rsidRPr="00D578F1" w:rsidRDefault="00D578F1" w:rsidP="00D578F1">
            <w:pPr>
              <w:spacing w:after="0" w:line="240" w:lineRule="auto"/>
              <w:jc w:val="center"/>
              <w:rPr>
                <w:rFonts w:ascii="Calibri" w:hAnsi="Calibri" w:cs="Calibri"/>
                <w:color w:val="000000"/>
                <w:sz w:val="16"/>
                <w:szCs w:val="22"/>
                <w:lang w:eastAsia="en-GB"/>
              </w:rPr>
            </w:pPr>
            <w:r w:rsidRPr="00D578F1">
              <w:rPr>
                <w:rFonts w:ascii="Calibri" w:hAnsi="Calibri" w:cs="Calibri"/>
                <w:color w:val="000000"/>
                <w:sz w:val="16"/>
                <w:szCs w:val="22"/>
                <w:lang w:eastAsia="en-GB"/>
              </w:rPr>
              <w:t>Feb-21</w:t>
            </w:r>
          </w:p>
        </w:tc>
        <w:tc>
          <w:tcPr>
            <w:tcW w:w="0" w:type="auto"/>
            <w:tcBorders>
              <w:top w:val="nil"/>
              <w:left w:val="nil"/>
              <w:bottom w:val="single" w:sz="4" w:space="0" w:color="auto"/>
              <w:right w:val="single" w:sz="4" w:space="0" w:color="auto"/>
            </w:tcBorders>
            <w:shd w:val="clear" w:color="auto" w:fill="auto"/>
            <w:noWrap/>
            <w:vAlign w:val="bottom"/>
            <w:hideMark/>
          </w:tcPr>
          <w:p w14:paraId="55D2497D" w14:textId="77777777" w:rsidR="00D578F1" w:rsidRPr="00D578F1" w:rsidRDefault="00D578F1" w:rsidP="00D578F1">
            <w:pPr>
              <w:spacing w:after="0" w:line="240" w:lineRule="auto"/>
              <w:jc w:val="center"/>
              <w:rPr>
                <w:rFonts w:ascii="Calibri" w:hAnsi="Calibri" w:cs="Calibri"/>
                <w:color w:val="000000"/>
                <w:sz w:val="16"/>
                <w:szCs w:val="22"/>
                <w:lang w:eastAsia="en-GB"/>
              </w:rPr>
            </w:pPr>
            <w:r w:rsidRPr="00D578F1">
              <w:rPr>
                <w:rFonts w:ascii="Calibri" w:hAnsi="Calibri" w:cs="Calibri"/>
                <w:color w:val="000000"/>
                <w:sz w:val="16"/>
                <w:szCs w:val="22"/>
                <w:lang w:eastAsia="en-GB"/>
              </w:rPr>
              <w:t>Mar-21</w:t>
            </w:r>
          </w:p>
        </w:tc>
      </w:tr>
      <w:tr w:rsidR="00D578F1" w:rsidRPr="00D578F1" w14:paraId="4D48BE91" w14:textId="77777777" w:rsidTr="00D578F1">
        <w:trPr>
          <w:trHeight w:val="285"/>
        </w:trPr>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14:paraId="412EDE15"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Risk 003 - Metering Equipment installation, programming, maintenance and Commissioning</w:t>
            </w:r>
          </w:p>
        </w:tc>
        <w:tc>
          <w:tcPr>
            <w:tcW w:w="0" w:type="auto"/>
            <w:tcBorders>
              <w:top w:val="nil"/>
              <w:left w:val="nil"/>
              <w:bottom w:val="single" w:sz="4" w:space="0" w:color="auto"/>
              <w:right w:val="single" w:sz="4" w:space="0" w:color="auto"/>
            </w:tcBorders>
            <w:shd w:val="clear" w:color="auto" w:fill="auto"/>
            <w:vAlign w:val="center"/>
            <w:hideMark/>
          </w:tcPr>
          <w:p w14:paraId="3E0AA6D1"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Analysis</w:t>
            </w:r>
          </w:p>
        </w:tc>
        <w:tc>
          <w:tcPr>
            <w:tcW w:w="0" w:type="auto"/>
            <w:tcBorders>
              <w:top w:val="nil"/>
              <w:left w:val="nil"/>
              <w:bottom w:val="single" w:sz="4" w:space="0" w:color="auto"/>
              <w:right w:val="single" w:sz="4" w:space="0" w:color="auto"/>
            </w:tcBorders>
            <w:shd w:val="clear" w:color="000000" w:fill="A9D08E"/>
            <w:noWrap/>
            <w:vAlign w:val="bottom"/>
            <w:hideMark/>
          </w:tcPr>
          <w:p w14:paraId="39AE7BF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5D5821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AEDDA9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1E7D27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581B92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CA9078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B92914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0DBEBF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FF946B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91AB35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5F2125"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C874AAD"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3211ADAB"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7AC3A23B"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3E339E4E"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Change</w:t>
            </w:r>
          </w:p>
        </w:tc>
        <w:tc>
          <w:tcPr>
            <w:tcW w:w="0" w:type="auto"/>
            <w:tcBorders>
              <w:top w:val="nil"/>
              <w:left w:val="nil"/>
              <w:bottom w:val="single" w:sz="4" w:space="0" w:color="auto"/>
              <w:right w:val="single" w:sz="4" w:space="0" w:color="auto"/>
            </w:tcBorders>
            <w:shd w:val="clear" w:color="000000" w:fill="A9D08E"/>
            <w:noWrap/>
            <w:vAlign w:val="bottom"/>
            <w:hideMark/>
          </w:tcPr>
          <w:p w14:paraId="5D4CED5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B3984E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8ADA15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8142CD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909664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8A5D61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D13D6F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D2AF06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54EF5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C6DB8E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85ABAB9"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BBA3860"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78D67442"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6B403716"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198E2927"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TAM Escalation</w:t>
            </w:r>
          </w:p>
        </w:tc>
        <w:tc>
          <w:tcPr>
            <w:tcW w:w="0" w:type="auto"/>
            <w:tcBorders>
              <w:top w:val="nil"/>
              <w:left w:val="nil"/>
              <w:bottom w:val="single" w:sz="4" w:space="0" w:color="auto"/>
              <w:right w:val="single" w:sz="4" w:space="0" w:color="auto"/>
            </w:tcBorders>
            <w:shd w:val="clear" w:color="000000" w:fill="A9D08E"/>
            <w:noWrap/>
            <w:vAlign w:val="bottom"/>
            <w:hideMark/>
          </w:tcPr>
          <w:p w14:paraId="7DCD6ED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D223EB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5CCE23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00E91B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9F84B5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56EC46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571C36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861A59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51AC95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FAB7BA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0B490F6"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2A0389"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0B3CC53A" w14:textId="77777777" w:rsidTr="00D578F1">
        <w:trPr>
          <w:trHeight w:val="285"/>
        </w:trPr>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14:paraId="563711D8"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Risk 005 - Fault resolution</w:t>
            </w:r>
          </w:p>
        </w:tc>
        <w:tc>
          <w:tcPr>
            <w:tcW w:w="0" w:type="auto"/>
            <w:tcBorders>
              <w:top w:val="nil"/>
              <w:left w:val="nil"/>
              <w:bottom w:val="single" w:sz="4" w:space="0" w:color="auto"/>
              <w:right w:val="single" w:sz="4" w:space="0" w:color="auto"/>
            </w:tcBorders>
            <w:shd w:val="clear" w:color="auto" w:fill="auto"/>
            <w:vAlign w:val="center"/>
            <w:hideMark/>
          </w:tcPr>
          <w:p w14:paraId="19B46DB4"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Analysis</w:t>
            </w:r>
          </w:p>
        </w:tc>
        <w:tc>
          <w:tcPr>
            <w:tcW w:w="0" w:type="auto"/>
            <w:tcBorders>
              <w:top w:val="nil"/>
              <w:left w:val="nil"/>
              <w:bottom w:val="single" w:sz="4" w:space="0" w:color="auto"/>
              <w:right w:val="single" w:sz="4" w:space="0" w:color="auto"/>
            </w:tcBorders>
            <w:shd w:val="clear" w:color="auto" w:fill="auto"/>
            <w:noWrap/>
            <w:vAlign w:val="bottom"/>
            <w:hideMark/>
          </w:tcPr>
          <w:p w14:paraId="39E14AE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02BEA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B5904D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1C068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3308B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E30E2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4A1EF2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360FCA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ACA00D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29008D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AAFB89B"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49FB5C"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47DA4E67"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3566FC84"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4AF22181"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Education</w:t>
            </w:r>
          </w:p>
        </w:tc>
        <w:tc>
          <w:tcPr>
            <w:tcW w:w="0" w:type="auto"/>
            <w:tcBorders>
              <w:top w:val="nil"/>
              <w:left w:val="nil"/>
              <w:bottom w:val="single" w:sz="4" w:space="0" w:color="auto"/>
              <w:right w:val="single" w:sz="4" w:space="0" w:color="auto"/>
            </w:tcBorders>
            <w:shd w:val="clear" w:color="auto" w:fill="auto"/>
            <w:noWrap/>
            <w:vAlign w:val="bottom"/>
            <w:hideMark/>
          </w:tcPr>
          <w:p w14:paraId="45FC2BA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228A3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61C575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84E65E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2A8914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7DA57B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E64CCA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0CA23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BB93AD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C12BF1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639BAA8"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FBAAF0C"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7C65E49F"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1CFEA69A"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704A2BF9"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TAM Escalation</w:t>
            </w:r>
          </w:p>
        </w:tc>
        <w:tc>
          <w:tcPr>
            <w:tcW w:w="0" w:type="auto"/>
            <w:tcBorders>
              <w:top w:val="nil"/>
              <w:left w:val="nil"/>
              <w:bottom w:val="single" w:sz="4" w:space="0" w:color="auto"/>
              <w:right w:val="single" w:sz="4" w:space="0" w:color="auto"/>
            </w:tcBorders>
            <w:shd w:val="clear" w:color="000000" w:fill="A9D08E"/>
            <w:noWrap/>
            <w:vAlign w:val="bottom"/>
            <w:hideMark/>
          </w:tcPr>
          <w:p w14:paraId="6885DAF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22E9BD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11D339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851E3F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8A3D4C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02684E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C544A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AE746A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58E774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582680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6DE6B9D"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DD340B4"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0368B95D" w14:textId="77777777" w:rsidTr="00D578F1">
        <w:trPr>
          <w:trHeight w:val="285"/>
        </w:trPr>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14:paraId="6C00A08B"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Risk 007 - Retrieval of Metered Data</w:t>
            </w:r>
          </w:p>
        </w:tc>
        <w:tc>
          <w:tcPr>
            <w:tcW w:w="0" w:type="auto"/>
            <w:tcBorders>
              <w:top w:val="nil"/>
              <w:left w:val="nil"/>
              <w:bottom w:val="single" w:sz="4" w:space="0" w:color="auto"/>
              <w:right w:val="single" w:sz="4" w:space="0" w:color="auto"/>
            </w:tcBorders>
            <w:shd w:val="clear" w:color="auto" w:fill="auto"/>
            <w:vAlign w:val="center"/>
            <w:hideMark/>
          </w:tcPr>
          <w:p w14:paraId="6F1BED34"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Education</w:t>
            </w:r>
          </w:p>
        </w:tc>
        <w:tc>
          <w:tcPr>
            <w:tcW w:w="0" w:type="auto"/>
            <w:tcBorders>
              <w:top w:val="nil"/>
              <w:left w:val="nil"/>
              <w:bottom w:val="single" w:sz="4" w:space="0" w:color="auto"/>
              <w:right w:val="single" w:sz="4" w:space="0" w:color="auto"/>
            </w:tcBorders>
            <w:shd w:val="clear" w:color="000000" w:fill="A9D08E"/>
            <w:noWrap/>
            <w:vAlign w:val="bottom"/>
            <w:hideMark/>
          </w:tcPr>
          <w:p w14:paraId="1D67D5B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37E574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0E7D09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839B30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95F7A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4A688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D99F3D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62C5A4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E90CB4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D27EE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5BABFA"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0E16EEA"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383A226A"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639BDAA8"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6D204FDF"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Analysis</w:t>
            </w:r>
          </w:p>
        </w:tc>
        <w:tc>
          <w:tcPr>
            <w:tcW w:w="0" w:type="auto"/>
            <w:tcBorders>
              <w:top w:val="nil"/>
              <w:left w:val="nil"/>
              <w:bottom w:val="single" w:sz="4" w:space="0" w:color="auto"/>
              <w:right w:val="single" w:sz="4" w:space="0" w:color="auto"/>
            </w:tcBorders>
            <w:shd w:val="clear" w:color="auto" w:fill="auto"/>
            <w:noWrap/>
            <w:vAlign w:val="bottom"/>
            <w:hideMark/>
          </w:tcPr>
          <w:p w14:paraId="0BA50CF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5EFD37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C909E1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30D25E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A74EC0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28EECA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01ACBE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F0CCD4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2B383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195F2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A63BFE4"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FC58988"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0A69BD9F"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29470796"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24FADF7C"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Review of Risk for Focus</w:t>
            </w:r>
          </w:p>
        </w:tc>
        <w:tc>
          <w:tcPr>
            <w:tcW w:w="0" w:type="auto"/>
            <w:tcBorders>
              <w:top w:val="nil"/>
              <w:left w:val="nil"/>
              <w:bottom w:val="single" w:sz="4" w:space="0" w:color="auto"/>
              <w:right w:val="single" w:sz="4" w:space="0" w:color="auto"/>
            </w:tcBorders>
            <w:shd w:val="clear" w:color="auto" w:fill="auto"/>
            <w:noWrap/>
            <w:vAlign w:val="bottom"/>
            <w:hideMark/>
          </w:tcPr>
          <w:p w14:paraId="475C514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A77B6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35A0A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B6184D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731A88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71A67D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B0F143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C87BC7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56722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56545B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9303C59"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87E505"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4C95E934" w14:textId="77777777" w:rsidTr="00D578F1">
        <w:trPr>
          <w:trHeight w:val="285"/>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9C3735"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Risk 012 - Metering Equipment Technical Detail Quality</w:t>
            </w:r>
          </w:p>
        </w:tc>
        <w:tc>
          <w:tcPr>
            <w:tcW w:w="0" w:type="auto"/>
            <w:tcBorders>
              <w:top w:val="nil"/>
              <w:left w:val="nil"/>
              <w:bottom w:val="single" w:sz="4" w:space="0" w:color="auto"/>
              <w:right w:val="single" w:sz="4" w:space="0" w:color="auto"/>
            </w:tcBorders>
            <w:shd w:val="clear" w:color="auto" w:fill="auto"/>
            <w:vAlign w:val="center"/>
            <w:hideMark/>
          </w:tcPr>
          <w:p w14:paraId="24FEB9CF"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Education</w:t>
            </w:r>
          </w:p>
        </w:tc>
        <w:tc>
          <w:tcPr>
            <w:tcW w:w="0" w:type="auto"/>
            <w:tcBorders>
              <w:top w:val="nil"/>
              <w:left w:val="nil"/>
              <w:bottom w:val="single" w:sz="4" w:space="0" w:color="auto"/>
              <w:right w:val="single" w:sz="4" w:space="0" w:color="auto"/>
            </w:tcBorders>
            <w:shd w:val="clear" w:color="000000" w:fill="A9D08E"/>
            <w:noWrap/>
            <w:vAlign w:val="bottom"/>
            <w:hideMark/>
          </w:tcPr>
          <w:p w14:paraId="5B2AED9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8E9F7A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2CE78D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5FDB7C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1801C9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AD4C74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FED0DF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43E62A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5C506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8864DA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5EA4DD"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E782EA"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71B92116" w14:textId="77777777" w:rsidTr="00D578F1">
        <w:trPr>
          <w:trHeight w:val="28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2E205173"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28E17AC0"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Analysis</w:t>
            </w:r>
          </w:p>
        </w:tc>
        <w:tc>
          <w:tcPr>
            <w:tcW w:w="0" w:type="auto"/>
            <w:tcBorders>
              <w:top w:val="nil"/>
              <w:left w:val="nil"/>
              <w:bottom w:val="single" w:sz="4" w:space="0" w:color="auto"/>
              <w:right w:val="single" w:sz="4" w:space="0" w:color="auto"/>
            </w:tcBorders>
            <w:shd w:val="clear" w:color="000000" w:fill="A9D08E"/>
            <w:noWrap/>
            <w:vAlign w:val="bottom"/>
            <w:hideMark/>
          </w:tcPr>
          <w:p w14:paraId="6D2EE6A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B53526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68D536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6C52DF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580781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C8C598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F53995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52D62E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9385E1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7F2D5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3FC36C9"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DCE6301"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4113FD72" w14:textId="77777777" w:rsidTr="00D578F1">
        <w:trPr>
          <w:trHeight w:val="28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66372F6B"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6E230165"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 xml:space="preserve">TAM Desktop Audit  </w:t>
            </w:r>
          </w:p>
        </w:tc>
        <w:tc>
          <w:tcPr>
            <w:tcW w:w="0" w:type="auto"/>
            <w:tcBorders>
              <w:top w:val="nil"/>
              <w:left w:val="nil"/>
              <w:bottom w:val="single" w:sz="4" w:space="0" w:color="auto"/>
              <w:right w:val="single" w:sz="4" w:space="0" w:color="auto"/>
            </w:tcBorders>
            <w:shd w:val="clear" w:color="auto" w:fill="auto"/>
            <w:noWrap/>
            <w:vAlign w:val="bottom"/>
            <w:hideMark/>
          </w:tcPr>
          <w:p w14:paraId="4FF9849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2615DD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C5AD78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40B33A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CC87C4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255ADD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BFB652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66464A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47652A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4CBCF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CFAE8DC"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0C42D8B"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65200C66" w14:textId="77777777" w:rsidTr="00D578F1">
        <w:trPr>
          <w:trHeight w:val="28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36EED0FC"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02D433D5"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Change</w:t>
            </w:r>
          </w:p>
        </w:tc>
        <w:tc>
          <w:tcPr>
            <w:tcW w:w="0" w:type="auto"/>
            <w:tcBorders>
              <w:top w:val="nil"/>
              <w:left w:val="nil"/>
              <w:bottom w:val="single" w:sz="4" w:space="0" w:color="auto"/>
              <w:right w:val="single" w:sz="4" w:space="0" w:color="auto"/>
            </w:tcBorders>
            <w:shd w:val="clear" w:color="auto" w:fill="auto"/>
            <w:noWrap/>
            <w:vAlign w:val="bottom"/>
            <w:hideMark/>
          </w:tcPr>
          <w:p w14:paraId="21D5358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72D93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0037EF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12B038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A34240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D57A27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5FFD13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209469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8E5665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393275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F5A07E1"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BED2E8F"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28FC4FAF" w14:textId="77777777" w:rsidTr="00D578F1">
        <w:trPr>
          <w:trHeight w:val="285"/>
        </w:trPr>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14:paraId="198886D7"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Risk Event 001 - Supplier Agents</w:t>
            </w:r>
          </w:p>
        </w:tc>
        <w:tc>
          <w:tcPr>
            <w:tcW w:w="0" w:type="auto"/>
            <w:tcBorders>
              <w:top w:val="nil"/>
              <w:left w:val="nil"/>
              <w:bottom w:val="single" w:sz="4" w:space="0" w:color="auto"/>
              <w:right w:val="single" w:sz="4" w:space="0" w:color="auto"/>
            </w:tcBorders>
            <w:shd w:val="clear" w:color="auto" w:fill="auto"/>
            <w:vAlign w:val="center"/>
            <w:hideMark/>
          </w:tcPr>
          <w:p w14:paraId="25A99B28"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Analysis</w:t>
            </w:r>
          </w:p>
        </w:tc>
        <w:tc>
          <w:tcPr>
            <w:tcW w:w="0" w:type="auto"/>
            <w:tcBorders>
              <w:top w:val="nil"/>
              <w:left w:val="nil"/>
              <w:bottom w:val="single" w:sz="4" w:space="0" w:color="auto"/>
              <w:right w:val="single" w:sz="4" w:space="0" w:color="auto"/>
            </w:tcBorders>
            <w:shd w:val="clear" w:color="000000" w:fill="A9D08E"/>
            <w:noWrap/>
            <w:vAlign w:val="bottom"/>
            <w:hideMark/>
          </w:tcPr>
          <w:p w14:paraId="76B2181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952D39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98B37E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CED0ED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D5EE0C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BE17B7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499FC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78272B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7710B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C95EE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44B7C24"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E66D4F"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14862345"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7289BA32"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28B91743"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Review of Risk event for Focus</w:t>
            </w:r>
          </w:p>
        </w:tc>
        <w:tc>
          <w:tcPr>
            <w:tcW w:w="0" w:type="auto"/>
            <w:tcBorders>
              <w:top w:val="nil"/>
              <w:left w:val="nil"/>
              <w:bottom w:val="single" w:sz="4" w:space="0" w:color="auto"/>
              <w:right w:val="single" w:sz="4" w:space="0" w:color="auto"/>
            </w:tcBorders>
            <w:shd w:val="clear" w:color="auto" w:fill="auto"/>
            <w:noWrap/>
            <w:vAlign w:val="bottom"/>
            <w:hideMark/>
          </w:tcPr>
          <w:p w14:paraId="5FBE2BF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DAABA7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9C139F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4DA339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FA06C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FE3528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EE26C3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F5DB8D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989FC7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DA7E0B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657545"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B50C443"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1FDA565B" w14:textId="77777777" w:rsidTr="00D578F1">
        <w:trPr>
          <w:trHeight w:val="285"/>
        </w:trPr>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14:paraId="7903DB50"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Risk Event 011 - Party Failure</w:t>
            </w:r>
          </w:p>
        </w:tc>
        <w:tc>
          <w:tcPr>
            <w:tcW w:w="0" w:type="auto"/>
            <w:tcBorders>
              <w:top w:val="nil"/>
              <w:left w:val="nil"/>
              <w:bottom w:val="single" w:sz="4" w:space="0" w:color="auto"/>
              <w:right w:val="single" w:sz="4" w:space="0" w:color="auto"/>
            </w:tcBorders>
            <w:shd w:val="clear" w:color="auto" w:fill="auto"/>
            <w:vAlign w:val="center"/>
            <w:hideMark/>
          </w:tcPr>
          <w:p w14:paraId="240196AF"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Education</w:t>
            </w:r>
          </w:p>
        </w:tc>
        <w:tc>
          <w:tcPr>
            <w:tcW w:w="0" w:type="auto"/>
            <w:tcBorders>
              <w:top w:val="nil"/>
              <w:left w:val="nil"/>
              <w:bottom w:val="single" w:sz="4" w:space="0" w:color="auto"/>
              <w:right w:val="single" w:sz="4" w:space="0" w:color="auto"/>
            </w:tcBorders>
            <w:shd w:val="clear" w:color="000000" w:fill="A9D08E"/>
            <w:noWrap/>
            <w:vAlign w:val="bottom"/>
            <w:hideMark/>
          </w:tcPr>
          <w:p w14:paraId="6BFE6C8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A9720D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2D2790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F7A7EA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959967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CEE769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47BE5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25E00D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B5263B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C90F4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65B9A17"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3333DE5"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037E65B4"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162FA492"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3CC941C4"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Analysis</w:t>
            </w:r>
          </w:p>
        </w:tc>
        <w:tc>
          <w:tcPr>
            <w:tcW w:w="0" w:type="auto"/>
            <w:tcBorders>
              <w:top w:val="nil"/>
              <w:left w:val="nil"/>
              <w:bottom w:val="single" w:sz="4" w:space="0" w:color="auto"/>
              <w:right w:val="single" w:sz="4" w:space="0" w:color="auto"/>
            </w:tcBorders>
            <w:shd w:val="clear" w:color="000000" w:fill="A9D08E"/>
            <w:noWrap/>
            <w:vAlign w:val="bottom"/>
            <w:hideMark/>
          </w:tcPr>
          <w:p w14:paraId="0FECD60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BDC35A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A03BA8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C1701D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9AD7AA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F48313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F93DF5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6EB215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569A95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92600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77B865A"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DDE3F1"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117A179A"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23105301"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444D1213"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Review of Risk event for Focus</w:t>
            </w:r>
          </w:p>
        </w:tc>
        <w:tc>
          <w:tcPr>
            <w:tcW w:w="0" w:type="auto"/>
            <w:tcBorders>
              <w:top w:val="nil"/>
              <w:left w:val="nil"/>
              <w:bottom w:val="single" w:sz="4" w:space="0" w:color="auto"/>
              <w:right w:val="single" w:sz="4" w:space="0" w:color="auto"/>
            </w:tcBorders>
            <w:shd w:val="clear" w:color="auto" w:fill="auto"/>
            <w:noWrap/>
            <w:vAlign w:val="bottom"/>
            <w:hideMark/>
          </w:tcPr>
          <w:p w14:paraId="5BBB2C0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695138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01B467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69FE1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A45BC8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05E70C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218FFD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1AF55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43644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96AB57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DC03626"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EA382F"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2506A19D" w14:textId="77777777" w:rsidTr="00D578F1">
        <w:trPr>
          <w:trHeight w:val="285"/>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E82F17"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Risk Event 020 - CVA Market</w:t>
            </w:r>
          </w:p>
        </w:tc>
        <w:tc>
          <w:tcPr>
            <w:tcW w:w="0" w:type="auto"/>
            <w:tcBorders>
              <w:top w:val="nil"/>
              <w:left w:val="nil"/>
              <w:bottom w:val="single" w:sz="4" w:space="0" w:color="auto"/>
              <w:right w:val="single" w:sz="4" w:space="0" w:color="auto"/>
            </w:tcBorders>
            <w:shd w:val="clear" w:color="auto" w:fill="auto"/>
            <w:vAlign w:val="center"/>
            <w:hideMark/>
          </w:tcPr>
          <w:p w14:paraId="4D633C0D"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Analysis</w:t>
            </w:r>
          </w:p>
        </w:tc>
        <w:tc>
          <w:tcPr>
            <w:tcW w:w="0" w:type="auto"/>
            <w:tcBorders>
              <w:top w:val="nil"/>
              <w:left w:val="nil"/>
              <w:bottom w:val="single" w:sz="4" w:space="0" w:color="auto"/>
              <w:right w:val="single" w:sz="4" w:space="0" w:color="auto"/>
            </w:tcBorders>
            <w:shd w:val="clear" w:color="000000" w:fill="A9D08E"/>
            <w:noWrap/>
            <w:vAlign w:val="bottom"/>
            <w:hideMark/>
          </w:tcPr>
          <w:p w14:paraId="7303AF7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F70366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EE4387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457948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EEA1B0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61C559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80BEDC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CADAB0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D88281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B775C9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D26E877"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8B0E324"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69C51C79" w14:textId="77777777" w:rsidTr="00D578F1">
        <w:trPr>
          <w:trHeight w:val="28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0A72CD18"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7132C903"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Establish PA Reporting</w:t>
            </w:r>
          </w:p>
        </w:tc>
        <w:tc>
          <w:tcPr>
            <w:tcW w:w="0" w:type="auto"/>
            <w:tcBorders>
              <w:top w:val="nil"/>
              <w:left w:val="nil"/>
              <w:bottom w:val="single" w:sz="4" w:space="0" w:color="auto"/>
              <w:right w:val="single" w:sz="4" w:space="0" w:color="auto"/>
            </w:tcBorders>
            <w:shd w:val="clear" w:color="auto" w:fill="auto"/>
            <w:noWrap/>
            <w:vAlign w:val="bottom"/>
            <w:hideMark/>
          </w:tcPr>
          <w:p w14:paraId="44567A3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49C63A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A6FFC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7AFBC3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BD4E0B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0BE096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57A7E7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75380B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97DB74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6EC437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0E4A93C"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F3D3271"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45D46A74" w14:textId="77777777" w:rsidTr="00D578F1">
        <w:trPr>
          <w:trHeight w:val="28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49E23EE0"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0792E6F4"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CVA PA Reporting BAU</w:t>
            </w:r>
          </w:p>
        </w:tc>
        <w:tc>
          <w:tcPr>
            <w:tcW w:w="0" w:type="auto"/>
            <w:tcBorders>
              <w:top w:val="nil"/>
              <w:left w:val="nil"/>
              <w:bottom w:val="single" w:sz="4" w:space="0" w:color="auto"/>
              <w:right w:val="single" w:sz="4" w:space="0" w:color="auto"/>
            </w:tcBorders>
            <w:shd w:val="clear" w:color="auto" w:fill="auto"/>
            <w:noWrap/>
            <w:vAlign w:val="bottom"/>
            <w:hideMark/>
          </w:tcPr>
          <w:p w14:paraId="29B2CE5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BA3E10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8FCFDE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A51C0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531DAB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A1717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08A657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862E5B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513576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20CCD8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03690D6"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85F29D4"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r w:rsidR="00D578F1" w:rsidRPr="00D578F1" w14:paraId="32A3B2EF" w14:textId="77777777" w:rsidTr="00D578F1">
        <w:trPr>
          <w:trHeight w:val="210"/>
        </w:trPr>
        <w:tc>
          <w:tcPr>
            <w:tcW w:w="0" w:type="auto"/>
            <w:tcBorders>
              <w:top w:val="nil"/>
              <w:left w:val="nil"/>
              <w:bottom w:val="nil"/>
              <w:right w:val="nil"/>
            </w:tcBorders>
            <w:shd w:val="clear" w:color="000000" w:fill="FFFFFF"/>
            <w:vAlign w:val="center"/>
            <w:hideMark/>
          </w:tcPr>
          <w:p w14:paraId="0104C613" w14:textId="77777777" w:rsidR="00D578F1" w:rsidRPr="00D578F1" w:rsidRDefault="00D578F1" w:rsidP="00D578F1">
            <w:pPr>
              <w:spacing w:after="0" w:line="240" w:lineRule="auto"/>
              <w:jc w:val="center"/>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nil"/>
              <w:right w:val="nil"/>
            </w:tcBorders>
            <w:shd w:val="clear" w:color="000000" w:fill="FFFFFF"/>
            <w:vAlign w:val="center"/>
            <w:hideMark/>
          </w:tcPr>
          <w:p w14:paraId="2F2F89E4" w14:textId="77777777" w:rsidR="00D578F1" w:rsidRPr="00D578F1" w:rsidRDefault="00D578F1" w:rsidP="00D578F1">
            <w:pPr>
              <w:spacing w:after="0" w:line="240" w:lineRule="auto"/>
              <w:jc w:val="center"/>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nil"/>
              <w:right w:val="nil"/>
            </w:tcBorders>
            <w:shd w:val="clear" w:color="000000" w:fill="FFFFFF"/>
            <w:vAlign w:val="center"/>
            <w:hideMark/>
          </w:tcPr>
          <w:p w14:paraId="4DC9B224" w14:textId="77777777" w:rsidR="00D578F1" w:rsidRPr="00D578F1" w:rsidRDefault="00D578F1" w:rsidP="00D578F1">
            <w:pPr>
              <w:spacing w:after="0" w:line="240" w:lineRule="auto"/>
              <w:jc w:val="center"/>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nil"/>
              <w:right w:val="nil"/>
            </w:tcBorders>
            <w:shd w:val="clear" w:color="000000" w:fill="FFFFFF"/>
            <w:vAlign w:val="center"/>
            <w:hideMark/>
          </w:tcPr>
          <w:p w14:paraId="4DC3EAE7" w14:textId="77777777" w:rsidR="00D578F1" w:rsidRPr="00D578F1" w:rsidRDefault="00D578F1" w:rsidP="00D578F1">
            <w:pPr>
              <w:spacing w:after="0" w:line="240" w:lineRule="auto"/>
              <w:jc w:val="center"/>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70177D93"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5039728D"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46EC78B1"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78DF0699"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1F0D15CB"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5409CA1D"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169B8B50"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683C2831"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66DEDF7A"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0F3038F2"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4805456D"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c>
          <w:tcPr>
            <w:tcW w:w="0" w:type="auto"/>
            <w:tcBorders>
              <w:top w:val="nil"/>
              <w:left w:val="nil"/>
              <w:bottom w:val="single" w:sz="4" w:space="0" w:color="auto"/>
              <w:right w:val="nil"/>
            </w:tcBorders>
            <w:shd w:val="clear" w:color="000000" w:fill="FFFFFF"/>
            <w:noWrap/>
            <w:vAlign w:val="bottom"/>
            <w:hideMark/>
          </w:tcPr>
          <w:p w14:paraId="0D453234" w14:textId="77777777" w:rsidR="00D578F1" w:rsidRPr="00D578F1" w:rsidRDefault="00D578F1" w:rsidP="00D578F1">
            <w:pPr>
              <w:spacing w:after="0" w:line="240" w:lineRule="auto"/>
              <w:rPr>
                <w:rFonts w:ascii="Calibri" w:hAnsi="Calibri" w:cs="Calibri"/>
                <w:color w:val="000000"/>
                <w:sz w:val="16"/>
                <w:szCs w:val="22"/>
                <w:lang w:eastAsia="en-GB"/>
              </w:rPr>
            </w:pPr>
            <w:r w:rsidRPr="00D578F1">
              <w:rPr>
                <w:rFonts w:ascii="Calibri" w:hAnsi="Calibri" w:cs="Calibri"/>
                <w:color w:val="000000"/>
                <w:sz w:val="16"/>
                <w:szCs w:val="22"/>
                <w:lang w:eastAsia="en-GB"/>
              </w:rPr>
              <w:t> </w:t>
            </w:r>
          </w:p>
        </w:tc>
      </w:tr>
    </w:tbl>
    <w:p w14:paraId="4D143D96" w14:textId="77777777" w:rsidR="00A2634F" w:rsidRDefault="00A2634F" w:rsidP="00A2634F">
      <w:pPr>
        <w:pStyle w:val="BodyText"/>
      </w:pPr>
    </w:p>
    <w:p w14:paraId="1C8B7744" w14:textId="77777777" w:rsidR="00E901D4" w:rsidRDefault="00E901D4" w:rsidP="00E901D4">
      <w:pPr>
        <w:pStyle w:val="Heading"/>
      </w:pPr>
      <w:bookmarkStart w:id="20" w:name="_Toc35421322"/>
      <w:r>
        <w:t>Performance Assurance Techniques Calendar</w:t>
      </w:r>
      <w:bookmarkEnd w:id="20"/>
    </w:p>
    <w:p w14:paraId="2D6B2207" w14:textId="77777777" w:rsidR="00D578F1" w:rsidRDefault="00D578F1" w:rsidP="00A2634F">
      <w:pPr>
        <w:pStyle w:val="BodyText"/>
      </w:pPr>
    </w:p>
    <w:tbl>
      <w:tblPr>
        <w:tblW w:w="0" w:type="auto"/>
        <w:tblLook w:val="04A0" w:firstRow="1" w:lastRow="0" w:firstColumn="1" w:lastColumn="0" w:noHBand="0" w:noVBand="1"/>
      </w:tblPr>
      <w:tblGrid>
        <w:gridCol w:w="969"/>
        <w:gridCol w:w="963"/>
        <w:gridCol w:w="963"/>
        <w:gridCol w:w="2193"/>
        <w:gridCol w:w="716"/>
        <w:gridCol w:w="776"/>
        <w:gridCol w:w="701"/>
        <w:gridCol w:w="647"/>
        <w:gridCol w:w="738"/>
        <w:gridCol w:w="721"/>
        <w:gridCol w:w="710"/>
        <w:gridCol w:w="746"/>
        <w:gridCol w:w="730"/>
        <w:gridCol w:w="692"/>
        <w:gridCol w:w="721"/>
        <w:gridCol w:w="757"/>
      </w:tblGrid>
      <w:tr w:rsidR="00D578F1" w:rsidRPr="00D578F1" w14:paraId="12AC8B7C" w14:textId="77777777" w:rsidTr="00D578F1">
        <w:trPr>
          <w:trHeight w:val="285"/>
        </w:trPr>
        <w:tc>
          <w:tcPr>
            <w:tcW w:w="0" w:type="auto"/>
            <w:tcBorders>
              <w:top w:val="nil"/>
              <w:left w:val="nil"/>
              <w:bottom w:val="single" w:sz="4" w:space="0" w:color="auto"/>
              <w:right w:val="nil"/>
            </w:tcBorders>
            <w:shd w:val="clear" w:color="000000" w:fill="FFFFFF"/>
            <w:vAlign w:val="center"/>
            <w:hideMark/>
          </w:tcPr>
          <w:p w14:paraId="02053479"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nil"/>
            </w:tcBorders>
            <w:shd w:val="clear" w:color="000000" w:fill="FFFFFF"/>
            <w:vAlign w:val="center"/>
            <w:hideMark/>
          </w:tcPr>
          <w:p w14:paraId="1CBAB5D7"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nil"/>
            </w:tcBorders>
            <w:shd w:val="clear" w:color="000000" w:fill="FFFFFF"/>
            <w:vAlign w:val="center"/>
            <w:hideMark/>
          </w:tcPr>
          <w:p w14:paraId="41DEAF35"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16F45448"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36520155"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PAOP Q1</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0309F60B"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PAOP Q2</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3030C782"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PAOP Q3</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A6292F4"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PAOP Q4</w:t>
            </w:r>
          </w:p>
        </w:tc>
      </w:tr>
      <w:tr w:rsidR="00D578F1" w:rsidRPr="00D578F1" w14:paraId="7C031C65" w14:textId="77777777" w:rsidTr="00D578F1">
        <w:trPr>
          <w:trHeight w:val="28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6FDCA8"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Technique</w:t>
            </w:r>
          </w:p>
        </w:tc>
        <w:tc>
          <w:tcPr>
            <w:tcW w:w="0" w:type="auto"/>
            <w:tcBorders>
              <w:top w:val="nil"/>
              <w:left w:val="nil"/>
              <w:bottom w:val="single" w:sz="4" w:space="0" w:color="auto"/>
              <w:right w:val="single" w:sz="4" w:space="0" w:color="auto"/>
            </w:tcBorders>
            <w:shd w:val="clear" w:color="auto" w:fill="auto"/>
            <w:vAlign w:val="center"/>
            <w:hideMark/>
          </w:tcPr>
          <w:p w14:paraId="5E70CCE1"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Activity</w:t>
            </w:r>
          </w:p>
        </w:tc>
        <w:tc>
          <w:tcPr>
            <w:tcW w:w="0" w:type="auto"/>
            <w:tcBorders>
              <w:top w:val="nil"/>
              <w:left w:val="nil"/>
              <w:bottom w:val="single" w:sz="4" w:space="0" w:color="auto"/>
              <w:right w:val="single" w:sz="4" w:space="0" w:color="auto"/>
            </w:tcBorders>
            <w:shd w:val="clear" w:color="auto" w:fill="auto"/>
            <w:noWrap/>
            <w:vAlign w:val="bottom"/>
            <w:hideMark/>
          </w:tcPr>
          <w:p w14:paraId="2870C841"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Apr-20</w:t>
            </w:r>
          </w:p>
        </w:tc>
        <w:tc>
          <w:tcPr>
            <w:tcW w:w="0" w:type="auto"/>
            <w:tcBorders>
              <w:top w:val="nil"/>
              <w:left w:val="nil"/>
              <w:bottom w:val="single" w:sz="4" w:space="0" w:color="auto"/>
              <w:right w:val="single" w:sz="4" w:space="0" w:color="auto"/>
            </w:tcBorders>
            <w:shd w:val="clear" w:color="auto" w:fill="auto"/>
            <w:noWrap/>
            <w:vAlign w:val="bottom"/>
            <w:hideMark/>
          </w:tcPr>
          <w:p w14:paraId="09BF35DD"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May-20</w:t>
            </w:r>
          </w:p>
        </w:tc>
        <w:tc>
          <w:tcPr>
            <w:tcW w:w="0" w:type="auto"/>
            <w:tcBorders>
              <w:top w:val="nil"/>
              <w:left w:val="nil"/>
              <w:bottom w:val="single" w:sz="4" w:space="0" w:color="auto"/>
              <w:right w:val="single" w:sz="4" w:space="0" w:color="auto"/>
            </w:tcBorders>
            <w:shd w:val="clear" w:color="auto" w:fill="auto"/>
            <w:noWrap/>
            <w:vAlign w:val="bottom"/>
            <w:hideMark/>
          </w:tcPr>
          <w:p w14:paraId="0782275F"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Jun-20</w:t>
            </w:r>
          </w:p>
        </w:tc>
        <w:tc>
          <w:tcPr>
            <w:tcW w:w="0" w:type="auto"/>
            <w:tcBorders>
              <w:top w:val="nil"/>
              <w:left w:val="nil"/>
              <w:bottom w:val="single" w:sz="4" w:space="0" w:color="auto"/>
              <w:right w:val="single" w:sz="4" w:space="0" w:color="auto"/>
            </w:tcBorders>
            <w:shd w:val="clear" w:color="auto" w:fill="auto"/>
            <w:noWrap/>
            <w:vAlign w:val="bottom"/>
            <w:hideMark/>
          </w:tcPr>
          <w:p w14:paraId="272D10F3"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Jul-20</w:t>
            </w:r>
          </w:p>
        </w:tc>
        <w:tc>
          <w:tcPr>
            <w:tcW w:w="0" w:type="auto"/>
            <w:tcBorders>
              <w:top w:val="nil"/>
              <w:left w:val="nil"/>
              <w:bottom w:val="single" w:sz="4" w:space="0" w:color="auto"/>
              <w:right w:val="single" w:sz="4" w:space="0" w:color="auto"/>
            </w:tcBorders>
            <w:shd w:val="clear" w:color="auto" w:fill="auto"/>
            <w:noWrap/>
            <w:vAlign w:val="bottom"/>
            <w:hideMark/>
          </w:tcPr>
          <w:p w14:paraId="06EFFEEA"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Aug-20</w:t>
            </w:r>
          </w:p>
        </w:tc>
        <w:tc>
          <w:tcPr>
            <w:tcW w:w="0" w:type="auto"/>
            <w:tcBorders>
              <w:top w:val="nil"/>
              <w:left w:val="nil"/>
              <w:bottom w:val="single" w:sz="4" w:space="0" w:color="auto"/>
              <w:right w:val="single" w:sz="4" w:space="0" w:color="auto"/>
            </w:tcBorders>
            <w:shd w:val="clear" w:color="auto" w:fill="auto"/>
            <w:noWrap/>
            <w:vAlign w:val="bottom"/>
            <w:hideMark/>
          </w:tcPr>
          <w:p w14:paraId="4013192B"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Sep-20</w:t>
            </w:r>
          </w:p>
        </w:tc>
        <w:tc>
          <w:tcPr>
            <w:tcW w:w="0" w:type="auto"/>
            <w:tcBorders>
              <w:top w:val="nil"/>
              <w:left w:val="nil"/>
              <w:bottom w:val="single" w:sz="4" w:space="0" w:color="auto"/>
              <w:right w:val="single" w:sz="4" w:space="0" w:color="auto"/>
            </w:tcBorders>
            <w:shd w:val="clear" w:color="auto" w:fill="auto"/>
            <w:noWrap/>
            <w:vAlign w:val="bottom"/>
            <w:hideMark/>
          </w:tcPr>
          <w:p w14:paraId="37B96F5F"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Oct-20</w:t>
            </w:r>
          </w:p>
        </w:tc>
        <w:tc>
          <w:tcPr>
            <w:tcW w:w="0" w:type="auto"/>
            <w:tcBorders>
              <w:top w:val="nil"/>
              <w:left w:val="nil"/>
              <w:bottom w:val="single" w:sz="4" w:space="0" w:color="auto"/>
              <w:right w:val="single" w:sz="4" w:space="0" w:color="auto"/>
            </w:tcBorders>
            <w:shd w:val="clear" w:color="auto" w:fill="auto"/>
            <w:noWrap/>
            <w:vAlign w:val="bottom"/>
            <w:hideMark/>
          </w:tcPr>
          <w:p w14:paraId="5FF266CD"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Nov-20</w:t>
            </w:r>
          </w:p>
        </w:tc>
        <w:tc>
          <w:tcPr>
            <w:tcW w:w="0" w:type="auto"/>
            <w:tcBorders>
              <w:top w:val="nil"/>
              <w:left w:val="nil"/>
              <w:bottom w:val="single" w:sz="4" w:space="0" w:color="auto"/>
              <w:right w:val="single" w:sz="4" w:space="0" w:color="auto"/>
            </w:tcBorders>
            <w:shd w:val="clear" w:color="auto" w:fill="auto"/>
            <w:noWrap/>
            <w:vAlign w:val="bottom"/>
            <w:hideMark/>
          </w:tcPr>
          <w:p w14:paraId="715EB7C3"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Dec-20</w:t>
            </w:r>
          </w:p>
        </w:tc>
        <w:tc>
          <w:tcPr>
            <w:tcW w:w="0" w:type="auto"/>
            <w:tcBorders>
              <w:top w:val="nil"/>
              <w:left w:val="nil"/>
              <w:bottom w:val="single" w:sz="4" w:space="0" w:color="auto"/>
              <w:right w:val="single" w:sz="4" w:space="0" w:color="auto"/>
            </w:tcBorders>
            <w:shd w:val="clear" w:color="auto" w:fill="auto"/>
            <w:noWrap/>
            <w:vAlign w:val="bottom"/>
            <w:hideMark/>
          </w:tcPr>
          <w:p w14:paraId="59BCA641"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Jan-21</w:t>
            </w:r>
          </w:p>
        </w:tc>
        <w:tc>
          <w:tcPr>
            <w:tcW w:w="0" w:type="auto"/>
            <w:tcBorders>
              <w:top w:val="nil"/>
              <w:left w:val="nil"/>
              <w:bottom w:val="single" w:sz="4" w:space="0" w:color="auto"/>
              <w:right w:val="single" w:sz="4" w:space="0" w:color="auto"/>
            </w:tcBorders>
            <w:shd w:val="clear" w:color="auto" w:fill="auto"/>
            <w:noWrap/>
            <w:vAlign w:val="bottom"/>
            <w:hideMark/>
          </w:tcPr>
          <w:p w14:paraId="3542F38A"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Feb-21</w:t>
            </w:r>
          </w:p>
        </w:tc>
        <w:tc>
          <w:tcPr>
            <w:tcW w:w="0" w:type="auto"/>
            <w:tcBorders>
              <w:top w:val="nil"/>
              <w:left w:val="nil"/>
              <w:bottom w:val="single" w:sz="4" w:space="0" w:color="auto"/>
              <w:right w:val="single" w:sz="4" w:space="0" w:color="auto"/>
            </w:tcBorders>
            <w:shd w:val="clear" w:color="auto" w:fill="auto"/>
            <w:noWrap/>
            <w:vAlign w:val="bottom"/>
            <w:hideMark/>
          </w:tcPr>
          <w:p w14:paraId="6485CC7F"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Mar-21</w:t>
            </w:r>
          </w:p>
        </w:tc>
      </w:tr>
      <w:tr w:rsidR="00D578F1" w:rsidRPr="00D578F1" w14:paraId="04FDAE77" w14:textId="77777777" w:rsidTr="00D578F1">
        <w:trPr>
          <w:trHeight w:val="285"/>
        </w:trPr>
        <w:tc>
          <w:tcPr>
            <w:tcW w:w="0" w:type="auto"/>
            <w:gridSpan w:val="3"/>
            <w:tcBorders>
              <w:top w:val="single" w:sz="4" w:space="0" w:color="auto"/>
              <w:left w:val="single" w:sz="4" w:space="0" w:color="auto"/>
              <w:bottom w:val="nil"/>
              <w:right w:val="single" w:sz="4" w:space="0" w:color="000000"/>
            </w:tcBorders>
            <w:shd w:val="clear" w:color="auto" w:fill="auto"/>
            <w:vAlign w:val="center"/>
            <w:hideMark/>
          </w:tcPr>
          <w:p w14:paraId="1E653CFD"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Qualification</w:t>
            </w:r>
          </w:p>
        </w:tc>
        <w:tc>
          <w:tcPr>
            <w:tcW w:w="0" w:type="auto"/>
            <w:tcBorders>
              <w:top w:val="nil"/>
              <w:left w:val="nil"/>
              <w:bottom w:val="single" w:sz="4" w:space="0" w:color="auto"/>
              <w:right w:val="single" w:sz="4" w:space="0" w:color="auto"/>
            </w:tcBorders>
            <w:shd w:val="clear" w:color="auto" w:fill="auto"/>
            <w:vAlign w:val="center"/>
            <w:hideMark/>
          </w:tcPr>
          <w:p w14:paraId="2CE177C6"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Qualification active</w:t>
            </w:r>
          </w:p>
        </w:tc>
        <w:tc>
          <w:tcPr>
            <w:tcW w:w="0" w:type="auto"/>
            <w:tcBorders>
              <w:top w:val="nil"/>
              <w:left w:val="nil"/>
              <w:bottom w:val="single" w:sz="4" w:space="0" w:color="auto"/>
              <w:right w:val="single" w:sz="4" w:space="0" w:color="auto"/>
            </w:tcBorders>
            <w:shd w:val="clear" w:color="000000" w:fill="A9D08E"/>
            <w:noWrap/>
            <w:vAlign w:val="bottom"/>
            <w:hideMark/>
          </w:tcPr>
          <w:p w14:paraId="60BCB3C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24ACD9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ABEC97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443B45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46B67B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775E09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03510C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ED0ECD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01BED5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A6E1E7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D949E9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995DAF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43AF1A51" w14:textId="77777777" w:rsidTr="00D578F1">
        <w:trPr>
          <w:trHeight w:val="285"/>
        </w:trPr>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14:paraId="131ACD65"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Error and Failure Resolution</w:t>
            </w:r>
          </w:p>
        </w:tc>
        <w:tc>
          <w:tcPr>
            <w:tcW w:w="0" w:type="auto"/>
            <w:tcBorders>
              <w:top w:val="nil"/>
              <w:left w:val="nil"/>
              <w:bottom w:val="single" w:sz="4" w:space="0" w:color="auto"/>
              <w:right w:val="single" w:sz="4" w:space="0" w:color="auto"/>
            </w:tcBorders>
            <w:shd w:val="clear" w:color="auto" w:fill="auto"/>
            <w:vAlign w:val="center"/>
            <w:hideMark/>
          </w:tcPr>
          <w:p w14:paraId="06465E15"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EFR Active</w:t>
            </w:r>
          </w:p>
        </w:tc>
        <w:tc>
          <w:tcPr>
            <w:tcW w:w="0" w:type="auto"/>
            <w:tcBorders>
              <w:top w:val="nil"/>
              <w:left w:val="nil"/>
              <w:bottom w:val="single" w:sz="4" w:space="0" w:color="auto"/>
              <w:right w:val="single" w:sz="4" w:space="0" w:color="auto"/>
            </w:tcBorders>
            <w:shd w:val="clear" w:color="000000" w:fill="A9D08E"/>
            <w:noWrap/>
            <w:vAlign w:val="bottom"/>
            <w:hideMark/>
          </w:tcPr>
          <w:p w14:paraId="5493FC8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C4CC4E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829B7C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37CA83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04ED63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B7C122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1D25CA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E38784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76C572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2582E9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C000BE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8D58DD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109FD398"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2F916B85"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78D69BD7"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EFR recommendations</w:t>
            </w:r>
          </w:p>
        </w:tc>
        <w:tc>
          <w:tcPr>
            <w:tcW w:w="0" w:type="auto"/>
            <w:tcBorders>
              <w:top w:val="nil"/>
              <w:left w:val="nil"/>
              <w:bottom w:val="single" w:sz="4" w:space="0" w:color="auto"/>
              <w:right w:val="single" w:sz="4" w:space="0" w:color="auto"/>
            </w:tcBorders>
            <w:shd w:val="clear" w:color="000000" w:fill="A9D08E"/>
            <w:noWrap/>
            <w:vAlign w:val="bottom"/>
            <w:hideMark/>
          </w:tcPr>
          <w:p w14:paraId="5C256EB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315DDD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8ED50A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33B3F8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300EE5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5C55B3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F487F4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B47B92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9962E6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17E481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49F34D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ABB5B0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4C35036E"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5E851C99"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33A70422"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EFR following BSC Audit</w:t>
            </w:r>
          </w:p>
        </w:tc>
        <w:tc>
          <w:tcPr>
            <w:tcW w:w="0" w:type="auto"/>
            <w:tcBorders>
              <w:top w:val="nil"/>
              <w:left w:val="nil"/>
              <w:bottom w:val="single" w:sz="4" w:space="0" w:color="auto"/>
              <w:right w:val="single" w:sz="4" w:space="0" w:color="auto"/>
            </w:tcBorders>
            <w:shd w:val="clear" w:color="auto" w:fill="auto"/>
            <w:noWrap/>
            <w:vAlign w:val="bottom"/>
            <w:hideMark/>
          </w:tcPr>
          <w:p w14:paraId="29564B1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E8AA64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81A39E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2D193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2DC7F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95E5A2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3B476C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D3DCBD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6C1FA9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AB7DDA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AC0401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C67911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31B86F0D" w14:textId="77777777" w:rsidTr="00D578F1">
        <w:trPr>
          <w:trHeight w:val="285"/>
        </w:trPr>
        <w:tc>
          <w:tcPr>
            <w:tcW w:w="0" w:type="auto"/>
            <w:gridSpan w:val="3"/>
            <w:tcBorders>
              <w:top w:val="single" w:sz="4" w:space="0" w:color="auto"/>
              <w:left w:val="single" w:sz="4" w:space="0" w:color="auto"/>
              <w:bottom w:val="nil"/>
              <w:right w:val="single" w:sz="4" w:space="0" w:color="000000"/>
            </w:tcBorders>
            <w:shd w:val="clear" w:color="auto" w:fill="auto"/>
            <w:vAlign w:val="center"/>
            <w:hideMark/>
          </w:tcPr>
          <w:p w14:paraId="28D16D07"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Trading Disputes</w:t>
            </w:r>
          </w:p>
        </w:tc>
        <w:tc>
          <w:tcPr>
            <w:tcW w:w="0" w:type="auto"/>
            <w:tcBorders>
              <w:top w:val="nil"/>
              <w:left w:val="nil"/>
              <w:bottom w:val="single" w:sz="4" w:space="0" w:color="auto"/>
              <w:right w:val="single" w:sz="4" w:space="0" w:color="auto"/>
            </w:tcBorders>
            <w:shd w:val="clear" w:color="auto" w:fill="auto"/>
            <w:vAlign w:val="center"/>
            <w:hideMark/>
          </w:tcPr>
          <w:p w14:paraId="055065C3"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Disputes investigated</w:t>
            </w:r>
          </w:p>
        </w:tc>
        <w:tc>
          <w:tcPr>
            <w:tcW w:w="0" w:type="auto"/>
            <w:tcBorders>
              <w:top w:val="nil"/>
              <w:left w:val="nil"/>
              <w:bottom w:val="single" w:sz="4" w:space="0" w:color="auto"/>
              <w:right w:val="single" w:sz="4" w:space="0" w:color="auto"/>
            </w:tcBorders>
            <w:shd w:val="clear" w:color="000000" w:fill="A9D08E"/>
            <w:noWrap/>
            <w:vAlign w:val="bottom"/>
            <w:hideMark/>
          </w:tcPr>
          <w:p w14:paraId="785C908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220743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217233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CAFE36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2B2E2A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3ACCB3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6FC2A6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2F3D1B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EC03B1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FA76EE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557029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60A3C4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27B9B502" w14:textId="77777777" w:rsidTr="00D578F1">
        <w:trPr>
          <w:trHeight w:val="285"/>
        </w:trPr>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14:paraId="0B892316"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BSC Audit</w:t>
            </w:r>
          </w:p>
        </w:tc>
        <w:tc>
          <w:tcPr>
            <w:tcW w:w="0" w:type="auto"/>
            <w:tcBorders>
              <w:top w:val="nil"/>
              <w:left w:val="nil"/>
              <w:bottom w:val="single" w:sz="4" w:space="0" w:color="auto"/>
              <w:right w:val="single" w:sz="4" w:space="0" w:color="auto"/>
            </w:tcBorders>
            <w:shd w:val="clear" w:color="auto" w:fill="auto"/>
            <w:vAlign w:val="center"/>
            <w:hideMark/>
          </w:tcPr>
          <w:p w14:paraId="2713C2E8"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New Audit Scope agreed</w:t>
            </w:r>
          </w:p>
        </w:tc>
        <w:tc>
          <w:tcPr>
            <w:tcW w:w="0" w:type="auto"/>
            <w:tcBorders>
              <w:top w:val="nil"/>
              <w:left w:val="nil"/>
              <w:bottom w:val="single" w:sz="4" w:space="0" w:color="auto"/>
              <w:right w:val="single" w:sz="4" w:space="0" w:color="auto"/>
            </w:tcBorders>
            <w:shd w:val="clear" w:color="000000" w:fill="A9D08E"/>
            <w:noWrap/>
            <w:vAlign w:val="bottom"/>
            <w:hideMark/>
          </w:tcPr>
          <w:p w14:paraId="3C2915C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F3612F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8818D9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D2235E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47B649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CDF39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4074E8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75DA83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F0AAE1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7C5114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E34ACB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5D356E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48224B4B"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1A61E672"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38D2594A"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New Audit Approach agreed</w:t>
            </w:r>
          </w:p>
        </w:tc>
        <w:tc>
          <w:tcPr>
            <w:tcW w:w="0" w:type="auto"/>
            <w:tcBorders>
              <w:top w:val="nil"/>
              <w:left w:val="nil"/>
              <w:bottom w:val="single" w:sz="4" w:space="0" w:color="auto"/>
              <w:right w:val="single" w:sz="4" w:space="0" w:color="auto"/>
            </w:tcBorders>
            <w:shd w:val="clear" w:color="000000" w:fill="FFFFFF"/>
            <w:noWrap/>
            <w:vAlign w:val="bottom"/>
            <w:hideMark/>
          </w:tcPr>
          <w:p w14:paraId="78B8365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E0A566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DA1149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7A0C68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EC9CF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94F19A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981F0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EAC64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1C4715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83E277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7D1E6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04404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16C83D66"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66AF46DF"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6D3ED5EA"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Previous Audit Issues presented</w:t>
            </w:r>
          </w:p>
        </w:tc>
        <w:tc>
          <w:tcPr>
            <w:tcW w:w="0" w:type="auto"/>
            <w:tcBorders>
              <w:top w:val="nil"/>
              <w:left w:val="nil"/>
              <w:bottom w:val="single" w:sz="4" w:space="0" w:color="auto"/>
              <w:right w:val="single" w:sz="4" w:space="0" w:color="auto"/>
            </w:tcBorders>
            <w:shd w:val="clear" w:color="auto" w:fill="auto"/>
            <w:noWrap/>
            <w:vAlign w:val="bottom"/>
            <w:hideMark/>
          </w:tcPr>
          <w:p w14:paraId="1EA16A5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179810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D57687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D50952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776917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AB6968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9BAC51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D28C95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0C2013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DB4EA8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0951CB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37ABD9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20F7B0D9"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1AE828FB"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5778DE21"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 xml:space="preserve"> New Audit Active</w:t>
            </w:r>
          </w:p>
        </w:tc>
        <w:tc>
          <w:tcPr>
            <w:tcW w:w="0" w:type="auto"/>
            <w:tcBorders>
              <w:top w:val="nil"/>
              <w:left w:val="nil"/>
              <w:bottom w:val="single" w:sz="4" w:space="0" w:color="auto"/>
              <w:right w:val="single" w:sz="4" w:space="0" w:color="auto"/>
            </w:tcBorders>
            <w:shd w:val="clear" w:color="auto" w:fill="auto"/>
            <w:noWrap/>
            <w:vAlign w:val="bottom"/>
            <w:hideMark/>
          </w:tcPr>
          <w:p w14:paraId="52EE73A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0D6A09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4DB5DB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EA6999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85FB9A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614C0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AE69A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41825F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D74C5E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3D8F49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52C8EF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974629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6BA9B0EA" w14:textId="77777777" w:rsidTr="00D578F1">
        <w:trPr>
          <w:trHeight w:val="285"/>
        </w:trPr>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14:paraId="594834D2"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Technical Audit of Metering</w:t>
            </w:r>
          </w:p>
        </w:tc>
        <w:tc>
          <w:tcPr>
            <w:tcW w:w="0" w:type="auto"/>
            <w:tcBorders>
              <w:top w:val="nil"/>
              <w:left w:val="nil"/>
              <w:bottom w:val="single" w:sz="4" w:space="0" w:color="auto"/>
              <w:right w:val="single" w:sz="4" w:space="0" w:color="auto"/>
            </w:tcBorders>
            <w:shd w:val="clear" w:color="auto" w:fill="auto"/>
            <w:vAlign w:val="center"/>
            <w:hideMark/>
          </w:tcPr>
          <w:p w14:paraId="421F3AC6"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Scope</w:t>
            </w:r>
          </w:p>
        </w:tc>
        <w:tc>
          <w:tcPr>
            <w:tcW w:w="0" w:type="auto"/>
            <w:tcBorders>
              <w:top w:val="nil"/>
              <w:left w:val="nil"/>
              <w:bottom w:val="single" w:sz="4" w:space="0" w:color="auto"/>
              <w:right w:val="single" w:sz="4" w:space="0" w:color="auto"/>
            </w:tcBorders>
            <w:shd w:val="clear" w:color="auto" w:fill="auto"/>
            <w:noWrap/>
            <w:vAlign w:val="bottom"/>
            <w:hideMark/>
          </w:tcPr>
          <w:p w14:paraId="431E99A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7F90F0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C17ED0"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22AEF8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43381D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7088AE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C6183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9C9ED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A86B7A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D3FA2A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D4FFAF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05AEFA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62C09A11"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67F4DE97"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380C421D"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Market Issues</w:t>
            </w:r>
          </w:p>
        </w:tc>
        <w:tc>
          <w:tcPr>
            <w:tcW w:w="0" w:type="auto"/>
            <w:tcBorders>
              <w:top w:val="nil"/>
              <w:left w:val="nil"/>
              <w:bottom w:val="single" w:sz="4" w:space="0" w:color="auto"/>
              <w:right w:val="single" w:sz="4" w:space="0" w:color="auto"/>
            </w:tcBorders>
            <w:shd w:val="clear" w:color="auto" w:fill="auto"/>
            <w:noWrap/>
            <w:vAlign w:val="bottom"/>
            <w:hideMark/>
          </w:tcPr>
          <w:p w14:paraId="495124A8"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8F81DD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19EA98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ED9D49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5BD822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2367E7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F9E577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88E984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755F3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D1D4D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2DFD1A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F7A52A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6FEE4F9E"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11E36521"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5BAB6C7E"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Audit Active</w:t>
            </w:r>
          </w:p>
        </w:tc>
        <w:tc>
          <w:tcPr>
            <w:tcW w:w="0" w:type="auto"/>
            <w:tcBorders>
              <w:top w:val="nil"/>
              <w:left w:val="nil"/>
              <w:bottom w:val="single" w:sz="4" w:space="0" w:color="auto"/>
              <w:right w:val="single" w:sz="4" w:space="0" w:color="auto"/>
            </w:tcBorders>
            <w:shd w:val="clear" w:color="000000" w:fill="A9D08E"/>
            <w:noWrap/>
            <w:vAlign w:val="bottom"/>
            <w:hideMark/>
          </w:tcPr>
          <w:p w14:paraId="5A6DFEE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8D7E72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DCBFF8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6171D5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FCD3BA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F76D74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D2D958F"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8CF75F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9EDC84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229C23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770D3B3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51A6328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1FC293EA" w14:textId="77777777" w:rsidTr="00D578F1">
        <w:trPr>
          <w:trHeight w:val="285"/>
        </w:trPr>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14:paraId="24715F07"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Technical Audit of Performance Assurance Parties</w:t>
            </w:r>
          </w:p>
        </w:tc>
        <w:tc>
          <w:tcPr>
            <w:tcW w:w="0" w:type="auto"/>
            <w:tcBorders>
              <w:top w:val="nil"/>
              <w:left w:val="nil"/>
              <w:bottom w:val="single" w:sz="4" w:space="0" w:color="auto"/>
              <w:right w:val="single" w:sz="4" w:space="0" w:color="auto"/>
            </w:tcBorders>
            <w:shd w:val="clear" w:color="auto" w:fill="auto"/>
            <w:vAlign w:val="center"/>
            <w:hideMark/>
          </w:tcPr>
          <w:p w14:paraId="2C57687C"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TAPAP 1</w:t>
            </w:r>
          </w:p>
        </w:tc>
        <w:tc>
          <w:tcPr>
            <w:tcW w:w="0" w:type="auto"/>
            <w:tcBorders>
              <w:top w:val="nil"/>
              <w:left w:val="nil"/>
              <w:bottom w:val="single" w:sz="4" w:space="0" w:color="auto"/>
              <w:right w:val="single" w:sz="4" w:space="0" w:color="auto"/>
            </w:tcBorders>
            <w:shd w:val="clear" w:color="auto" w:fill="auto"/>
            <w:noWrap/>
            <w:vAlign w:val="bottom"/>
            <w:hideMark/>
          </w:tcPr>
          <w:p w14:paraId="305027D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E14AE2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69181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CCDAD4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397D59D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18ECF0F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4E4F55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EA5F57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FC763D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F4D5E1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6202486"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A26060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19C608ED" w14:textId="77777777" w:rsidTr="00D578F1">
        <w:trPr>
          <w:trHeight w:val="285"/>
        </w:trPr>
        <w:tc>
          <w:tcPr>
            <w:tcW w:w="0" w:type="auto"/>
            <w:gridSpan w:val="3"/>
            <w:vMerge/>
            <w:tcBorders>
              <w:top w:val="single" w:sz="4" w:space="0" w:color="auto"/>
              <w:left w:val="single" w:sz="4" w:space="0" w:color="auto"/>
              <w:bottom w:val="nil"/>
              <w:right w:val="single" w:sz="4" w:space="0" w:color="000000"/>
            </w:tcBorders>
            <w:vAlign w:val="center"/>
            <w:hideMark/>
          </w:tcPr>
          <w:p w14:paraId="06B1293D"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5587C999"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TAPAP 2</w:t>
            </w:r>
            <w:r w:rsidR="00E901D4">
              <w:rPr>
                <w:rFonts w:ascii="Calibri" w:hAnsi="Calibri" w:cs="Calibri"/>
                <w:color w:val="000000"/>
                <w:sz w:val="18"/>
                <w:szCs w:val="22"/>
                <w:lang w:eastAsia="en-GB"/>
              </w:rPr>
              <w:t xml:space="preserve"> – CVA Market</w:t>
            </w:r>
          </w:p>
        </w:tc>
        <w:tc>
          <w:tcPr>
            <w:tcW w:w="0" w:type="auto"/>
            <w:tcBorders>
              <w:top w:val="nil"/>
              <w:left w:val="nil"/>
              <w:bottom w:val="single" w:sz="4" w:space="0" w:color="auto"/>
              <w:right w:val="single" w:sz="4" w:space="0" w:color="auto"/>
            </w:tcBorders>
            <w:shd w:val="clear" w:color="auto" w:fill="auto"/>
            <w:noWrap/>
            <w:vAlign w:val="bottom"/>
            <w:hideMark/>
          </w:tcPr>
          <w:p w14:paraId="554DD48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5DE8EF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61E75D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99C6F9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7282B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10DBEE2"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6760CF7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080439F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530668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D988C1"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06033CC"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5AFF13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r w:rsidR="00D578F1" w:rsidRPr="00D578F1" w14:paraId="1F882FA5" w14:textId="77777777" w:rsidTr="00D578F1">
        <w:trPr>
          <w:trHeight w:val="285"/>
        </w:trPr>
        <w:tc>
          <w:tcPr>
            <w:tcW w:w="0" w:type="auto"/>
            <w:gridSpan w:val="3"/>
            <w:vMerge/>
            <w:tcBorders>
              <w:top w:val="single" w:sz="4" w:space="0" w:color="auto"/>
              <w:left w:val="single" w:sz="4" w:space="0" w:color="auto"/>
              <w:bottom w:val="single" w:sz="4" w:space="0" w:color="auto"/>
              <w:right w:val="single" w:sz="4" w:space="0" w:color="000000"/>
            </w:tcBorders>
            <w:vAlign w:val="center"/>
            <w:hideMark/>
          </w:tcPr>
          <w:p w14:paraId="5D51312E" w14:textId="77777777" w:rsidR="00D578F1" w:rsidRPr="00D578F1" w:rsidRDefault="00D578F1" w:rsidP="00D578F1">
            <w:pPr>
              <w:spacing w:after="0" w:line="240" w:lineRule="auto"/>
              <w:rPr>
                <w:rFonts w:ascii="Calibri" w:hAnsi="Calibri" w:cs="Calibri"/>
                <w:color w:val="000000"/>
                <w:sz w:val="18"/>
                <w:szCs w:val="22"/>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0ED89DB0" w14:textId="77777777" w:rsidR="00D578F1" w:rsidRPr="00D578F1" w:rsidRDefault="00D578F1" w:rsidP="00D578F1">
            <w:pPr>
              <w:spacing w:after="0" w:line="240" w:lineRule="auto"/>
              <w:jc w:val="center"/>
              <w:rPr>
                <w:rFonts w:ascii="Calibri" w:hAnsi="Calibri" w:cs="Calibri"/>
                <w:color w:val="000000"/>
                <w:sz w:val="18"/>
                <w:szCs w:val="22"/>
                <w:lang w:eastAsia="en-GB"/>
              </w:rPr>
            </w:pPr>
            <w:r w:rsidRPr="00D578F1">
              <w:rPr>
                <w:rFonts w:ascii="Calibri" w:hAnsi="Calibri" w:cs="Calibri"/>
                <w:color w:val="000000"/>
                <w:sz w:val="18"/>
                <w:szCs w:val="22"/>
                <w:lang w:eastAsia="en-GB"/>
              </w:rPr>
              <w:t>TAPAP 3</w:t>
            </w:r>
          </w:p>
        </w:tc>
        <w:tc>
          <w:tcPr>
            <w:tcW w:w="0" w:type="auto"/>
            <w:tcBorders>
              <w:top w:val="nil"/>
              <w:left w:val="nil"/>
              <w:bottom w:val="single" w:sz="4" w:space="0" w:color="auto"/>
              <w:right w:val="single" w:sz="4" w:space="0" w:color="auto"/>
            </w:tcBorders>
            <w:shd w:val="clear" w:color="auto" w:fill="auto"/>
            <w:noWrap/>
            <w:vAlign w:val="bottom"/>
            <w:hideMark/>
          </w:tcPr>
          <w:p w14:paraId="27261299"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AA4511E"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CC8EE6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6F8F43"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9D7B1A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C6B22D"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AE3AC5"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61169EA"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519016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2B570277"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4065E5B"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c>
          <w:tcPr>
            <w:tcW w:w="0" w:type="auto"/>
            <w:tcBorders>
              <w:top w:val="nil"/>
              <w:left w:val="nil"/>
              <w:bottom w:val="single" w:sz="4" w:space="0" w:color="auto"/>
              <w:right w:val="single" w:sz="4" w:space="0" w:color="auto"/>
            </w:tcBorders>
            <w:shd w:val="clear" w:color="000000" w:fill="A9D08E"/>
            <w:noWrap/>
            <w:vAlign w:val="bottom"/>
            <w:hideMark/>
          </w:tcPr>
          <w:p w14:paraId="435E9BB4" w14:textId="77777777" w:rsidR="00D578F1" w:rsidRPr="00D578F1" w:rsidRDefault="00D578F1" w:rsidP="00D578F1">
            <w:pPr>
              <w:spacing w:after="0" w:line="240" w:lineRule="auto"/>
              <w:rPr>
                <w:rFonts w:ascii="Calibri" w:hAnsi="Calibri" w:cs="Calibri"/>
                <w:color w:val="000000"/>
                <w:sz w:val="18"/>
                <w:szCs w:val="22"/>
                <w:lang w:eastAsia="en-GB"/>
              </w:rPr>
            </w:pPr>
            <w:r w:rsidRPr="00D578F1">
              <w:rPr>
                <w:rFonts w:ascii="Calibri" w:hAnsi="Calibri" w:cs="Calibri"/>
                <w:color w:val="000000"/>
                <w:sz w:val="18"/>
                <w:szCs w:val="22"/>
                <w:lang w:eastAsia="en-GB"/>
              </w:rPr>
              <w:t> </w:t>
            </w:r>
          </w:p>
        </w:tc>
      </w:tr>
    </w:tbl>
    <w:p w14:paraId="46988BF5" w14:textId="77777777" w:rsidR="00D578F1" w:rsidRDefault="00D578F1" w:rsidP="00A2634F">
      <w:pPr>
        <w:pStyle w:val="BodyText"/>
      </w:pPr>
    </w:p>
    <w:p w14:paraId="653E06A0" w14:textId="77777777" w:rsidR="00A2634F" w:rsidRDefault="00A2634F" w:rsidP="00A2634F">
      <w:pPr>
        <w:pStyle w:val="BodyText"/>
      </w:pPr>
    </w:p>
    <w:p w14:paraId="1791130D" w14:textId="77777777" w:rsidR="00A2634F" w:rsidRDefault="00A2634F" w:rsidP="00A2634F">
      <w:pPr>
        <w:pStyle w:val="BodyText"/>
      </w:pPr>
    </w:p>
    <w:p w14:paraId="339494EB" w14:textId="77777777" w:rsidR="00A2634F" w:rsidRDefault="00A2634F" w:rsidP="00A2634F">
      <w:pPr>
        <w:pStyle w:val="BodyText"/>
      </w:pPr>
    </w:p>
    <w:p w14:paraId="6621C1E0" w14:textId="77777777" w:rsidR="00A2634F" w:rsidRDefault="00A2634F" w:rsidP="00A2634F">
      <w:pPr>
        <w:pStyle w:val="BodyText"/>
      </w:pPr>
    </w:p>
    <w:p w14:paraId="3817ABA8" w14:textId="77777777" w:rsidR="00A2634F" w:rsidRDefault="00A2634F" w:rsidP="00A2634F">
      <w:pPr>
        <w:pStyle w:val="BodyText"/>
      </w:pPr>
    </w:p>
    <w:p w14:paraId="7F211A7A" w14:textId="77777777" w:rsidR="00A2634F" w:rsidRDefault="00A2634F" w:rsidP="00A2634F">
      <w:pPr>
        <w:pStyle w:val="BodyText"/>
      </w:pPr>
    </w:p>
    <w:p w14:paraId="3401C158" w14:textId="77777777" w:rsidR="00A2634F" w:rsidRDefault="00A2634F" w:rsidP="00A2634F">
      <w:pPr>
        <w:pStyle w:val="BodyText"/>
      </w:pPr>
    </w:p>
    <w:p w14:paraId="42630CBC" w14:textId="77777777" w:rsidR="00594593" w:rsidRDefault="00594593" w:rsidP="00A2634F">
      <w:pPr>
        <w:pStyle w:val="BodyText"/>
        <w:sectPr w:rsidR="00594593" w:rsidSect="00594593">
          <w:pgSz w:w="16838" w:h="11906" w:orient="landscape" w:code="9"/>
          <w:pgMar w:top="794" w:right="1162" w:bottom="794" w:left="1928" w:header="879" w:footer="539" w:gutter="0"/>
          <w:cols w:space="708"/>
          <w:titlePg/>
          <w:docGrid w:linePitch="360"/>
        </w:sectPr>
      </w:pPr>
    </w:p>
    <w:p w14:paraId="6CEC51E0" w14:textId="77777777" w:rsidR="000517EC" w:rsidRPr="00D8320B" w:rsidRDefault="00AF6DC9" w:rsidP="000517EC">
      <w:pPr>
        <w:pStyle w:val="Sectionheading"/>
      </w:pPr>
      <w:bookmarkStart w:id="21" w:name="_Toc467846897"/>
      <w:bookmarkStart w:id="22" w:name="_Toc35421323"/>
      <w:bookmarkEnd w:id="19"/>
      <w:r>
        <w:t xml:space="preserve">Summary of </w:t>
      </w:r>
      <w:r w:rsidR="000517EC" w:rsidRPr="00D8320B">
        <w:t xml:space="preserve">Costs for </w:t>
      </w:r>
      <w:r w:rsidR="00F03535">
        <w:t>delivering</w:t>
      </w:r>
      <w:r w:rsidR="000517EC" w:rsidRPr="00D8320B">
        <w:t xml:space="preserve"> Performance Assurance Techniques</w:t>
      </w:r>
      <w:bookmarkEnd w:id="21"/>
      <w:bookmarkEnd w:id="22"/>
    </w:p>
    <w:p w14:paraId="410DE673" w14:textId="77777777" w:rsidR="00C707E2" w:rsidRDefault="000517EC" w:rsidP="000517EC">
      <w:pPr>
        <w:pStyle w:val="BodyText"/>
      </w:pPr>
      <w:r w:rsidRPr="00522692">
        <w:t xml:space="preserve">The </w:t>
      </w:r>
      <w:r w:rsidR="00AD74F5">
        <w:t xml:space="preserve">estimated </w:t>
      </w:r>
      <w:r w:rsidRPr="00522692">
        <w:t xml:space="preserve">cost of delivering the Performance Assurance Framework (PAF) in </w:t>
      </w:r>
      <w:r w:rsidRPr="00623044">
        <w:t>20</w:t>
      </w:r>
      <w:r w:rsidR="00623044" w:rsidRPr="00623044">
        <w:t>19</w:t>
      </w:r>
      <w:r w:rsidRPr="00623044">
        <w:t>/</w:t>
      </w:r>
      <w:r w:rsidR="00623044" w:rsidRPr="00623044">
        <w:t>20</w:t>
      </w:r>
      <w:r w:rsidRPr="00522692">
        <w:t xml:space="preserve"> is </w:t>
      </w:r>
      <w:r w:rsidR="00C707E2" w:rsidRPr="00623044">
        <w:t>£</w:t>
      </w:r>
      <w:r w:rsidR="00623044" w:rsidRPr="00623044">
        <w:t>3,</w:t>
      </w:r>
      <w:r w:rsidR="00583DD8">
        <w:t>413</w:t>
      </w:r>
      <w:r w:rsidR="00623044" w:rsidRPr="00623044">
        <w:t>,</w:t>
      </w:r>
      <w:r w:rsidR="00583DD8">
        <w:t>850</w:t>
      </w:r>
      <w:r w:rsidR="00D72ADE" w:rsidRPr="00623044">
        <w:t>.</w:t>
      </w:r>
    </w:p>
    <w:p w14:paraId="4D4EAF28" w14:textId="77777777" w:rsidR="00B01CB2" w:rsidRDefault="00C707E2" w:rsidP="000517EC">
      <w:pPr>
        <w:pStyle w:val="BodyText"/>
      </w:pPr>
      <w:r>
        <w:t xml:space="preserve">A breakdown of these costs is </w:t>
      </w:r>
      <w:r w:rsidR="000517EC" w:rsidRPr="00522692">
        <w:t>shown below</w:t>
      </w:r>
    </w:p>
    <w:tbl>
      <w:tblPr>
        <w:tblStyle w:val="ElexonTable"/>
        <w:tblW w:w="3835" w:type="pct"/>
        <w:tblLook w:val="04A0" w:firstRow="1" w:lastRow="0" w:firstColumn="1" w:lastColumn="0" w:noHBand="0" w:noVBand="1"/>
      </w:tblPr>
      <w:tblGrid>
        <w:gridCol w:w="2267"/>
        <w:gridCol w:w="2000"/>
        <w:gridCol w:w="1818"/>
        <w:gridCol w:w="1817"/>
      </w:tblGrid>
      <w:tr w:rsidR="001178DC" w:rsidRPr="00696902" w14:paraId="125D37A9" w14:textId="77777777" w:rsidTr="001178DC">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434" w:type="pct"/>
            <w:shd w:val="clear" w:color="auto" w:fill="0090AB"/>
            <w:vAlign w:val="center"/>
          </w:tcPr>
          <w:p w14:paraId="5EA26227" w14:textId="77777777" w:rsidR="001178DC" w:rsidRPr="00696902" w:rsidRDefault="001178DC" w:rsidP="00243FE6">
            <w:pPr>
              <w:pStyle w:val="Tableheading"/>
              <w:jc w:val="center"/>
              <w:rPr>
                <w:sz w:val="18"/>
                <w:szCs w:val="18"/>
              </w:rPr>
            </w:pPr>
            <w:r w:rsidRPr="00696902">
              <w:rPr>
                <w:sz w:val="18"/>
                <w:szCs w:val="18"/>
              </w:rPr>
              <w:t>Cost Type</w:t>
            </w:r>
          </w:p>
        </w:tc>
        <w:tc>
          <w:tcPr>
            <w:tcW w:w="1265" w:type="pct"/>
            <w:shd w:val="clear" w:color="auto" w:fill="0090AB"/>
            <w:vAlign w:val="center"/>
          </w:tcPr>
          <w:p w14:paraId="169C5D18" w14:textId="77777777" w:rsidR="001178DC" w:rsidRDefault="001178DC" w:rsidP="00997907">
            <w:pPr>
              <w:pStyle w:val="Tableheading"/>
              <w:jc w:val="center"/>
              <w:cnfStyle w:val="100000000000" w:firstRow="1" w:lastRow="0" w:firstColumn="0" w:lastColumn="0" w:oddVBand="0" w:evenVBand="0" w:oddHBand="0" w:evenHBand="0" w:firstRowFirstColumn="0" w:firstRowLastColumn="0" w:lastRowFirstColumn="0" w:lastRowLastColumn="0"/>
              <w:rPr>
                <w:sz w:val="18"/>
                <w:szCs w:val="18"/>
              </w:rPr>
            </w:pPr>
            <w:r w:rsidRPr="00696902">
              <w:rPr>
                <w:sz w:val="18"/>
                <w:szCs w:val="18"/>
              </w:rPr>
              <w:t>20</w:t>
            </w:r>
            <w:r>
              <w:rPr>
                <w:sz w:val="18"/>
                <w:szCs w:val="18"/>
              </w:rPr>
              <w:t>19</w:t>
            </w:r>
            <w:r w:rsidRPr="00696902">
              <w:rPr>
                <w:sz w:val="18"/>
                <w:szCs w:val="18"/>
              </w:rPr>
              <w:t>/</w:t>
            </w:r>
            <w:r>
              <w:rPr>
                <w:sz w:val="18"/>
                <w:szCs w:val="18"/>
              </w:rPr>
              <w:t>20</w:t>
            </w:r>
            <w:r w:rsidRPr="00696902">
              <w:rPr>
                <w:sz w:val="18"/>
                <w:szCs w:val="18"/>
              </w:rPr>
              <w:t xml:space="preserve"> </w:t>
            </w:r>
          </w:p>
          <w:p w14:paraId="07AC1CEA" w14:textId="77777777" w:rsidR="001178DC" w:rsidRPr="00696902" w:rsidRDefault="001178DC" w:rsidP="00997907">
            <w:pPr>
              <w:pStyle w:val="Tableheading"/>
              <w:jc w:val="center"/>
              <w:cnfStyle w:val="100000000000" w:firstRow="1" w:lastRow="0" w:firstColumn="0" w:lastColumn="0" w:oddVBand="0" w:evenVBand="0" w:oddHBand="0" w:evenHBand="0" w:firstRowFirstColumn="0" w:firstRowLastColumn="0" w:lastRowFirstColumn="0" w:lastRowLastColumn="0"/>
              <w:rPr>
                <w:sz w:val="18"/>
                <w:szCs w:val="18"/>
              </w:rPr>
            </w:pPr>
            <w:r w:rsidRPr="00696902">
              <w:rPr>
                <w:sz w:val="18"/>
                <w:szCs w:val="18"/>
              </w:rPr>
              <w:t xml:space="preserve">Forecast </w:t>
            </w:r>
            <w:r>
              <w:rPr>
                <w:sz w:val="18"/>
                <w:szCs w:val="18"/>
              </w:rPr>
              <w:t>(£k)</w:t>
            </w:r>
          </w:p>
        </w:tc>
        <w:tc>
          <w:tcPr>
            <w:tcW w:w="1150" w:type="pct"/>
            <w:shd w:val="clear" w:color="auto" w:fill="0090AB"/>
            <w:vAlign w:val="center"/>
          </w:tcPr>
          <w:p w14:paraId="70DE0383" w14:textId="77777777" w:rsidR="001178DC" w:rsidRDefault="001178DC" w:rsidP="00997907">
            <w:pPr>
              <w:pStyle w:val="Tableheading"/>
              <w:jc w:val="center"/>
              <w:cnfStyle w:val="100000000000" w:firstRow="1" w:lastRow="0" w:firstColumn="0" w:lastColumn="0" w:oddVBand="0" w:evenVBand="0" w:oddHBand="0" w:evenHBand="0" w:firstRowFirstColumn="0" w:firstRowLastColumn="0" w:lastRowFirstColumn="0" w:lastRowLastColumn="0"/>
              <w:rPr>
                <w:sz w:val="18"/>
                <w:szCs w:val="18"/>
              </w:rPr>
            </w:pPr>
            <w:r w:rsidRPr="00696902">
              <w:rPr>
                <w:sz w:val="18"/>
                <w:szCs w:val="18"/>
              </w:rPr>
              <w:t>20</w:t>
            </w:r>
            <w:r>
              <w:rPr>
                <w:sz w:val="18"/>
                <w:szCs w:val="18"/>
              </w:rPr>
              <w:t>19</w:t>
            </w:r>
            <w:r w:rsidRPr="00696902">
              <w:rPr>
                <w:sz w:val="18"/>
                <w:szCs w:val="18"/>
              </w:rPr>
              <w:t>/</w:t>
            </w:r>
            <w:r>
              <w:rPr>
                <w:sz w:val="18"/>
                <w:szCs w:val="18"/>
              </w:rPr>
              <w:t xml:space="preserve">20 </w:t>
            </w:r>
          </w:p>
          <w:p w14:paraId="1039B5E0" w14:textId="77777777" w:rsidR="001178DC" w:rsidRPr="00696902" w:rsidRDefault="001178DC" w:rsidP="00997907">
            <w:pPr>
              <w:pStyle w:val="Tableheading"/>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Actual</w:t>
            </w:r>
            <w:r w:rsidRPr="00696902">
              <w:rPr>
                <w:sz w:val="18"/>
                <w:szCs w:val="18"/>
              </w:rPr>
              <w:t xml:space="preserve"> </w:t>
            </w:r>
            <w:r>
              <w:rPr>
                <w:sz w:val="18"/>
                <w:szCs w:val="18"/>
              </w:rPr>
              <w:t>(£k)</w:t>
            </w:r>
          </w:p>
        </w:tc>
        <w:tc>
          <w:tcPr>
            <w:tcW w:w="1150" w:type="pct"/>
            <w:shd w:val="clear" w:color="auto" w:fill="0090AB"/>
          </w:tcPr>
          <w:p w14:paraId="1102FA77" w14:textId="77777777" w:rsidR="001178DC" w:rsidRDefault="001178DC" w:rsidP="001178DC">
            <w:pPr>
              <w:pStyle w:val="Tableheading"/>
              <w:jc w:val="center"/>
              <w:cnfStyle w:val="100000000000" w:firstRow="1" w:lastRow="0" w:firstColumn="0" w:lastColumn="0" w:oddVBand="0" w:evenVBand="0" w:oddHBand="0" w:evenHBand="0" w:firstRowFirstColumn="0" w:firstRowLastColumn="0" w:lastRowFirstColumn="0" w:lastRowLastColumn="0"/>
              <w:rPr>
                <w:sz w:val="18"/>
                <w:szCs w:val="18"/>
              </w:rPr>
            </w:pPr>
            <w:r w:rsidRPr="00696902">
              <w:rPr>
                <w:sz w:val="18"/>
                <w:szCs w:val="18"/>
              </w:rPr>
              <w:t>20</w:t>
            </w:r>
            <w:r>
              <w:rPr>
                <w:sz w:val="18"/>
                <w:szCs w:val="18"/>
              </w:rPr>
              <w:t>20</w:t>
            </w:r>
            <w:r w:rsidRPr="00696902">
              <w:rPr>
                <w:sz w:val="18"/>
                <w:szCs w:val="18"/>
              </w:rPr>
              <w:t>/</w:t>
            </w:r>
            <w:r>
              <w:rPr>
                <w:sz w:val="18"/>
                <w:szCs w:val="18"/>
              </w:rPr>
              <w:t>21</w:t>
            </w:r>
            <w:r w:rsidRPr="00696902">
              <w:rPr>
                <w:sz w:val="18"/>
                <w:szCs w:val="18"/>
              </w:rPr>
              <w:t xml:space="preserve"> </w:t>
            </w:r>
          </w:p>
          <w:p w14:paraId="3A4F6186" w14:textId="77777777" w:rsidR="001178DC" w:rsidRPr="00696902" w:rsidRDefault="001178DC" w:rsidP="001178DC">
            <w:pPr>
              <w:pStyle w:val="Tableheading"/>
              <w:jc w:val="center"/>
              <w:cnfStyle w:val="100000000000" w:firstRow="1" w:lastRow="0" w:firstColumn="0" w:lastColumn="0" w:oddVBand="0" w:evenVBand="0" w:oddHBand="0" w:evenHBand="0" w:firstRowFirstColumn="0" w:firstRowLastColumn="0" w:lastRowFirstColumn="0" w:lastRowLastColumn="0"/>
              <w:rPr>
                <w:sz w:val="18"/>
                <w:szCs w:val="18"/>
              </w:rPr>
            </w:pPr>
            <w:r w:rsidRPr="00696902">
              <w:rPr>
                <w:sz w:val="18"/>
                <w:szCs w:val="18"/>
              </w:rPr>
              <w:t xml:space="preserve">Forecast </w:t>
            </w:r>
            <w:r>
              <w:rPr>
                <w:sz w:val="18"/>
                <w:szCs w:val="18"/>
              </w:rPr>
              <w:t>(£k</w:t>
            </w:r>
          </w:p>
        </w:tc>
      </w:tr>
      <w:tr w:rsidR="001178DC" w:rsidRPr="00696902" w14:paraId="73AF41F9" w14:textId="77777777" w:rsidTr="009269A3">
        <w:trPr>
          <w:trHeight w:val="88"/>
        </w:trPr>
        <w:tc>
          <w:tcPr>
            <w:cnfStyle w:val="001000000000" w:firstRow="0" w:lastRow="0" w:firstColumn="1" w:lastColumn="0" w:oddVBand="0" w:evenVBand="0" w:oddHBand="0" w:evenHBand="0" w:firstRowFirstColumn="0" w:firstRowLastColumn="0" w:lastRowFirstColumn="0" w:lastRowLastColumn="0"/>
            <w:tcW w:w="1434" w:type="pct"/>
          </w:tcPr>
          <w:p w14:paraId="1D2D0A0A" w14:textId="77777777" w:rsidR="001178DC" w:rsidRPr="00696902" w:rsidRDefault="001178DC" w:rsidP="00243FE6">
            <w:pPr>
              <w:pStyle w:val="Tabletext"/>
              <w:jc w:val="center"/>
              <w:rPr>
                <w:sz w:val="18"/>
                <w:szCs w:val="18"/>
              </w:rPr>
            </w:pPr>
            <w:r w:rsidRPr="00696902">
              <w:rPr>
                <w:sz w:val="18"/>
                <w:szCs w:val="18"/>
              </w:rPr>
              <w:t>Operational</w:t>
            </w:r>
          </w:p>
        </w:tc>
        <w:tc>
          <w:tcPr>
            <w:tcW w:w="1265" w:type="pct"/>
          </w:tcPr>
          <w:p w14:paraId="63E6EB96" w14:textId="77777777" w:rsidR="001178DC" w:rsidRPr="00AF4468" w:rsidRDefault="001178DC" w:rsidP="00997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£645</w:t>
            </w:r>
          </w:p>
        </w:tc>
        <w:tc>
          <w:tcPr>
            <w:tcW w:w="1150" w:type="pct"/>
            <w:shd w:val="clear" w:color="auto" w:fill="00B050"/>
          </w:tcPr>
          <w:p w14:paraId="2CE8BE0C" w14:textId="77777777" w:rsidR="001178DC" w:rsidRPr="00AF4468" w:rsidRDefault="001178DC" w:rsidP="000F769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£565</w:t>
            </w:r>
          </w:p>
        </w:tc>
        <w:tc>
          <w:tcPr>
            <w:tcW w:w="1150" w:type="pct"/>
            <w:shd w:val="clear" w:color="auto" w:fill="auto"/>
          </w:tcPr>
          <w:p w14:paraId="77CFA30E" w14:textId="77777777" w:rsidR="001178DC" w:rsidRDefault="001178DC" w:rsidP="000F769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£675</w:t>
            </w:r>
          </w:p>
        </w:tc>
      </w:tr>
      <w:tr w:rsidR="001178DC" w:rsidRPr="00696902" w14:paraId="10EC0697" w14:textId="77777777" w:rsidTr="001178DC">
        <w:trPr>
          <w:trHeight w:val="307"/>
        </w:trPr>
        <w:tc>
          <w:tcPr>
            <w:cnfStyle w:val="001000000000" w:firstRow="0" w:lastRow="0" w:firstColumn="1" w:lastColumn="0" w:oddVBand="0" w:evenVBand="0" w:oddHBand="0" w:evenHBand="0" w:firstRowFirstColumn="0" w:firstRowLastColumn="0" w:lastRowFirstColumn="0" w:lastRowLastColumn="0"/>
            <w:tcW w:w="1434" w:type="pct"/>
          </w:tcPr>
          <w:p w14:paraId="2582F142" w14:textId="77777777" w:rsidR="001178DC" w:rsidRPr="00696902" w:rsidRDefault="001178DC" w:rsidP="00243FE6">
            <w:pPr>
              <w:pStyle w:val="Tabletext"/>
              <w:jc w:val="center"/>
              <w:rPr>
                <w:sz w:val="18"/>
                <w:szCs w:val="18"/>
              </w:rPr>
            </w:pPr>
            <w:r w:rsidRPr="00696902">
              <w:rPr>
                <w:sz w:val="18"/>
                <w:szCs w:val="18"/>
              </w:rPr>
              <w:t>Contractual</w:t>
            </w:r>
          </w:p>
        </w:tc>
        <w:tc>
          <w:tcPr>
            <w:tcW w:w="1265" w:type="pct"/>
          </w:tcPr>
          <w:p w14:paraId="2B6E37EF" w14:textId="77777777" w:rsidR="001178DC" w:rsidRDefault="001178DC" w:rsidP="00997907">
            <w:pPr>
              <w:pStyle w:val="Tabletext"/>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E4D6A">
              <w:rPr>
                <w:sz w:val="18"/>
                <w:szCs w:val="18"/>
              </w:rPr>
              <w:t>£2,</w:t>
            </w:r>
            <w:r>
              <w:rPr>
                <w:sz w:val="18"/>
                <w:szCs w:val="18"/>
              </w:rPr>
              <w:t>769</w:t>
            </w:r>
          </w:p>
        </w:tc>
        <w:tc>
          <w:tcPr>
            <w:tcW w:w="1150" w:type="pct"/>
            <w:shd w:val="clear" w:color="auto" w:fill="00B050"/>
          </w:tcPr>
          <w:p w14:paraId="3E64A630" w14:textId="77777777" w:rsidR="001178DC" w:rsidRDefault="001178DC" w:rsidP="00997907">
            <w:pPr>
              <w:pStyle w:val="Tabletext"/>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E4D6A">
              <w:rPr>
                <w:sz w:val="18"/>
                <w:szCs w:val="18"/>
              </w:rPr>
              <w:t>£2,</w:t>
            </w:r>
            <w:r>
              <w:rPr>
                <w:sz w:val="18"/>
                <w:szCs w:val="18"/>
              </w:rPr>
              <w:t>490</w:t>
            </w:r>
          </w:p>
        </w:tc>
        <w:tc>
          <w:tcPr>
            <w:tcW w:w="1150" w:type="pct"/>
            <w:shd w:val="clear" w:color="auto" w:fill="auto"/>
          </w:tcPr>
          <w:p w14:paraId="36485B86" w14:textId="77777777" w:rsidR="001178DC" w:rsidRPr="006E4D6A" w:rsidRDefault="001178DC" w:rsidP="00997907">
            <w:pPr>
              <w:pStyle w:val="Tabletext"/>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£2,765</w:t>
            </w:r>
          </w:p>
        </w:tc>
      </w:tr>
      <w:tr w:rsidR="001178DC" w:rsidRPr="00696902" w14:paraId="23BEF4D1" w14:textId="77777777" w:rsidTr="001178DC">
        <w:tc>
          <w:tcPr>
            <w:cnfStyle w:val="001000000000" w:firstRow="0" w:lastRow="0" w:firstColumn="1" w:lastColumn="0" w:oddVBand="0" w:evenVBand="0" w:oddHBand="0" w:evenHBand="0" w:firstRowFirstColumn="0" w:firstRowLastColumn="0" w:lastRowFirstColumn="0" w:lastRowLastColumn="0"/>
            <w:tcW w:w="1434" w:type="pct"/>
          </w:tcPr>
          <w:p w14:paraId="49C57957" w14:textId="77777777" w:rsidR="001178DC" w:rsidRPr="00243FE6" w:rsidRDefault="001178DC" w:rsidP="00243FE6">
            <w:pPr>
              <w:pStyle w:val="Tabletext"/>
              <w:jc w:val="center"/>
              <w:rPr>
                <w:b/>
                <w:sz w:val="18"/>
                <w:szCs w:val="18"/>
              </w:rPr>
            </w:pPr>
            <w:r w:rsidRPr="00243FE6">
              <w:rPr>
                <w:b/>
                <w:sz w:val="18"/>
                <w:szCs w:val="18"/>
              </w:rPr>
              <w:t>Total</w:t>
            </w:r>
          </w:p>
        </w:tc>
        <w:tc>
          <w:tcPr>
            <w:tcW w:w="1265" w:type="pct"/>
          </w:tcPr>
          <w:p w14:paraId="37CCD812" w14:textId="77777777" w:rsidR="001178DC" w:rsidRPr="00243FE6" w:rsidRDefault="001178DC" w:rsidP="00997907">
            <w:pPr>
              <w:pStyle w:val="Tabletext"/>
              <w:ind w:left="0"/>
              <w:jc w:val="center"/>
              <w:cnfStyle w:val="000000000000" w:firstRow="0" w:lastRow="0" w:firstColumn="0" w:lastColumn="0" w:oddVBand="0" w:evenVBand="0" w:oddHBand="0" w:evenHBand="0" w:firstRowFirstColumn="0" w:firstRowLastColumn="0" w:lastRowFirstColumn="0" w:lastRowLastColumn="0"/>
              <w:rPr>
                <w:b/>
                <w:sz w:val="18"/>
                <w:szCs w:val="18"/>
              </w:rPr>
            </w:pPr>
            <w:r w:rsidRPr="00243FE6">
              <w:rPr>
                <w:b/>
                <w:sz w:val="18"/>
                <w:szCs w:val="18"/>
              </w:rPr>
              <w:t>£3,414</w:t>
            </w:r>
          </w:p>
        </w:tc>
        <w:tc>
          <w:tcPr>
            <w:tcW w:w="1150" w:type="pct"/>
            <w:shd w:val="clear" w:color="auto" w:fill="00B050"/>
          </w:tcPr>
          <w:p w14:paraId="4889FFBB" w14:textId="77777777" w:rsidR="001178DC" w:rsidRPr="00243FE6" w:rsidRDefault="001178DC" w:rsidP="00997907">
            <w:pPr>
              <w:pStyle w:val="Tabletext"/>
              <w:ind w:left="0"/>
              <w:jc w:val="center"/>
              <w:cnfStyle w:val="000000000000" w:firstRow="0" w:lastRow="0" w:firstColumn="0" w:lastColumn="0" w:oddVBand="0" w:evenVBand="0" w:oddHBand="0" w:evenHBand="0" w:firstRowFirstColumn="0" w:firstRowLastColumn="0" w:lastRowFirstColumn="0" w:lastRowLastColumn="0"/>
              <w:rPr>
                <w:b/>
                <w:sz w:val="18"/>
                <w:szCs w:val="18"/>
              </w:rPr>
            </w:pPr>
            <w:r w:rsidRPr="00243FE6">
              <w:rPr>
                <w:b/>
                <w:sz w:val="18"/>
                <w:szCs w:val="18"/>
              </w:rPr>
              <w:t>£3,056</w:t>
            </w:r>
          </w:p>
        </w:tc>
        <w:tc>
          <w:tcPr>
            <w:tcW w:w="1150" w:type="pct"/>
            <w:shd w:val="clear" w:color="auto" w:fill="auto"/>
          </w:tcPr>
          <w:p w14:paraId="712496ED" w14:textId="65AB9EB2" w:rsidR="001178DC" w:rsidRPr="00243FE6" w:rsidRDefault="003F70B3" w:rsidP="00997907">
            <w:pPr>
              <w:pStyle w:val="Tabletext"/>
              <w:ind w:left="0"/>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£3,440</w:t>
            </w:r>
          </w:p>
        </w:tc>
      </w:tr>
    </w:tbl>
    <w:p w14:paraId="6FC2ACFF" w14:textId="77777777" w:rsidR="00AD74F5" w:rsidRDefault="00AD74F5" w:rsidP="00AF6DC9">
      <w:pPr>
        <w:pStyle w:val="BodyText"/>
      </w:pPr>
      <w:bookmarkStart w:id="23" w:name="_Toc467846898"/>
    </w:p>
    <w:p w14:paraId="1A739FE3" w14:textId="77777777" w:rsidR="00623044" w:rsidRPr="00A04E07" w:rsidRDefault="00623044" w:rsidP="00623044">
      <w:pPr>
        <w:pStyle w:val="Heading"/>
      </w:pPr>
      <w:bookmarkStart w:id="24" w:name="_Toc496169500"/>
      <w:bookmarkStart w:id="25" w:name="_Toc35421324"/>
      <w:bookmarkEnd w:id="23"/>
      <w:r w:rsidRPr="00A04E07">
        <w:t>Operational</w:t>
      </w:r>
      <w:r w:rsidR="001178DC">
        <w:t xml:space="preserve"> and Contractual</w:t>
      </w:r>
      <w:r w:rsidRPr="00A04E07">
        <w:t xml:space="preserve"> Cost</w:t>
      </w:r>
      <w:bookmarkEnd w:id="24"/>
      <w:r w:rsidR="001178DC">
        <w:t xml:space="preserve"> details</w:t>
      </w:r>
      <w:bookmarkEnd w:id="25"/>
    </w:p>
    <w:tbl>
      <w:tblPr>
        <w:tblStyle w:val="ElexonTable"/>
        <w:tblW w:w="0" w:type="auto"/>
        <w:tblCellMar>
          <w:top w:w="0" w:type="dxa"/>
          <w:bottom w:w="0" w:type="dxa"/>
        </w:tblCellMar>
        <w:tblLook w:val="04A0" w:firstRow="1" w:lastRow="0" w:firstColumn="1" w:lastColumn="0" w:noHBand="0" w:noVBand="1"/>
      </w:tblPr>
      <w:tblGrid>
        <w:gridCol w:w="1960"/>
        <w:gridCol w:w="1720"/>
        <w:gridCol w:w="1780"/>
        <w:gridCol w:w="1720"/>
        <w:gridCol w:w="1180"/>
      </w:tblGrid>
      <w:tr w:rsidR="001178DC" w:rsidRPr="009269A3" w14:paraId="6D6BCDF9" w14:textId="77777777" w:rsidTr="005072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60C974A5" w14:textId="77777777" w:rsidR="001178DC" w:rsidRPr="00243FE6" w:rsidRDefault="001178DC" w:rsidP="00243FE6">
            <w:pPr>
              <w:pStyle w:val="BodyText"/>
              <w:jc w:val="center"/>
              <w:rPr>
                <w:b/>
                <w:color w:val="FFFFFF" w:themeColor="background1"/>
                <w:sz w:val="18"/>
              </w:rPr>
            </w:pPr>
            <w:bookmarkStart w:id="26" w:name="_Toc467846899"/>
            <w:bookmarkStart w:id="27" w:name="_Toc496169501"/>
            <w:r w:rsidRPr="00243FE6">
              <w:rPr>
                <w:b/>
                <w:color w:val="FFFFFF" w:themeColor="background1"/>
                <w:sz w:val="18"/>
              </w:rPr>
              <w:t>PA Area</w:t>
            </w:r>
          </w:p>
        </w:tc>
        <w:tc>
          <w:tcPr>
            <w:tcW w:w="1720" w:type="dxa"/>
            <w:noWrap/>
            <w:hideMark/>
          </w:tcPr>
          <w:p w14:paraId="2B8CCC16" w14:textId="77777777" w:rsidR="001178DC" w:rsidRPr="00243FE6" w:rsidRDefault="001178DC" w:rsidP="00243FE6">
            <w:pPr>
              <w:pStyle w:val="BodyText"/>
              <w:jc w:val="center"/>
              <w:cnfStyle w:val="100000000000" w:firstRow="1" w:lastRow="0" w:firstColumn="0" w:lastColumn="0" w:oddVBand="0" w:evenVBand="0" w:oddHBand="0" w:evenHBand="0" w:firstRowFirstColumn="0" w:firstRowLastColumn="0" w:lastRowFirstColumn="0" w:lastRowLastColumn="0"/>
              <w:rPr>
                <w:b/>
                <w:color w:val="FFFFFF" w:themeColor="background1"/>
                <w:sz w:val="18"/>
              </w:rPr>
            </w:pPr>
            <w:r w:rsidRPr="00243FE6">
              <w:rPr>
                <w:b/>
                <w:color w:val="FFFFFF" w:themeColor="background1"/>
                <w:sz w:val="18"/>
              </w:rPr>
              <w:t>Operational Days</w:t>
            </w:r>
          </w:p>
        </w:tc>
        <w:tc>
          <w:tcPr>
            <w:tcW w:w="1780" w:type="dxa"/>
            <w:tcBorders>
              <w:bottom w:val="single" w:sz="6" w:space="0" w:color="7AA3AA" w:themeColor="accent2"/>
            </w:tcBorders>
            <w:noWrap/>
            <w:hideMark/>
          </w:tcPr>
          <w:p w14:paraId="537E4248" w14:textId="77777777" w:rsidR="001178DC" w:rsidRPr="00243FE6" w:rsidRDefault="001178DC" w:rsidP="00243FE6">
            <w:pPr>
              <w:pStyle w:val="BodyText"/>
              <w:jc w:val="center"/>
              <w:cnfStyle w:val="100000000000" w:firstRow="1" w:lastRow="0" w:firstColumn="0" w:lastColumn="0" w:oddVBand="0" w:evenVBand="0" w:oddHBand="0" w:evenHBand="0" w:firstRowFirstColumn="0" w:firstRowLastColumn="0" w:lastRowFirstColumn="0" w:lastRowLastColumn="0"/>
              <w:rPr>
                <w:b/>
                <w:color w:val="FFFFFF" w:themeColor="background1"/>
                <w:sz w:val="18"/>
              </w:rPr>
            </w:pPr>
            <w:r w:rsidRPr="00243FE6">
              <w:rPr>
                <w:b/>
                <w:color w:val="FFFFFF" w:themeColor="background1"/>
                <w:sz w:val="18"/>
              </w:rPr>
              <w:t>Operational Costs</w:t>
            </w:r>
            <w:r w:rsidR="00E252E5" w:rsidRPr="00243FE6">
              <w:rPr>
                <w:b/>
                <w:color w:val="FFFFFF" w:themeColor="background1"/>
                <w:sz w:val="18"/>
              </w:rPr>
              <w:t xml:space="preserve"> (£k)</w:t>
            </w:r>
          </w:p>
        </w:tc>
        <w:tc>
          <w:tcPr>
            <w:tcW w:w="1720" w:type="dxa"/>
            <w:tcBorders>
              <w:bottom w:val="single" w:sz="6" w:space="0" w:color="7AA3AA" w:themeColor="accent2"/>
            </w:tcBorders>
            <w:noWrap/>
            <w:hideMark/>
          </w:tcPr>
          <w:p w14:paraId="2DC19947" w14:textId="77777777" w:rsidR="001178DC" w:rsidRPr="00243FE6" w:rsidRDefault="001178DC" w:rsidP="00243FE6">
            <w:pPr>
              <w:pStyle w:val="BodyText"/>
              <w:jc w:val="center"/>
              <w:cnfStyle w:val="100000000000" w:firstRow="1" w:lastRow="0" w:firstColumn="0" w:lastColumn="0" w:oddVBand="0" w:evenVBand="0" w:oddHBand="0" w:evenHBand="0" w:firstRowFirstColumn="0" w:firstRowLastColumn="0" w:lastRowFirstColumn="0" w:lastRowLastColumn="0"/>
              <w:rPr>
                <w:b/>
                <w:color w:val="FFFFFF" w:themeColor="background1"/>
                <w:sz w:val="18"/>
              </w:rPr>
            </w:pPr>
            <w:r w:rsidRPr="00243FE6">
              <w:rPr>
                <w:b/>
                <w:color w:val="FFFFFF" w:themeColor="background1"/>
                <w:sz w:val="18"/>
              </w:rPr>
              <w:t>Contractual Costs</w:t>
            </w:r>
            <w:r w:rsidR="00E252E5" w:rsidRPr="00243FE6">
              <w:rPr>
                <w:b/>
                <w:color w:val="FFFFFF" w:themeColor="background1"/>
                <w:sz w:val="18"/>
              </w:rPr>
              <w:t xml:space="preserve"> (£k)</w:t>
            </w:r>
          </w:p>
        </w:tc>
        <w:tc>
          <w:tcPr>
            <w:tcW w:w="1180" w:type="dxa"/>
            <w:tcBorders>
              <w:bottom w:val="single" w:sz="6" w:space="0" w:color="7AA3AA" w:themeColor="accent2"/>
            </w:tcBorders>
            <w:noWrap/>
            <w:hideMark/>
          </w:tcPr>
          <w:p w14:paraId="7721F974" w14:textId="77777777" w:rsidR="00E252E5" w:rsidRPr="00243FE6" w:rsidRDefault="001178DC" w:rsidP="00243FE6">
            <w:pPr>
              <w:pStyle w:val="BodyText"/>
              <w:jc w:val="center"/>
              <w:cnfStyle w:val="100000000000" w:firstRow="1" w:lastRow="0" w:firstColumn="0" w:lastColumn="0" w:oddVBand="0" w:evenVBand="0" w:oddHBand="0" w:evenHBand="0" w:firstRowFirstColumn="0" w:firstRowLastColumn="0" w:lastRowFirstColumn="0" w:lastRowLastColumn="0"/>
              <w:rPr>
                <w:b/>
                <w:bCs/>
                <w:color w:val="FFFFFF" w:themeColor="background1"/>
                <w:sz w:val="18"/>
              </w:rPr>
            </w:pPr>
            <w:r w:rsidRPr="00243FE6">
              <w:rPr>
                <w:b/>
                <w:bCs/>
                <w:color w:val="FFFFFF" w:themeColor="background1"/>
                <w:sz w:val="18"/>
              </w:rPr>
              <w:t>Total Costs</w:t>
            </w:r>
            <w:r w:rsidR="00E252E5" w:rsidRPr="00243FE6">
              <w:rPr>
                <w:b/>
                <w:bCs/>
                <w:color w:val="FFFFFF" w:themeColor="background1"/>
                <w:sz w:val="18"/>
              </w:rPr>
              <w:t xml:space="preserve"> (£k)</w:t>
            </w:r>
          </w:p>
        </w:tc>
      </w:tr>
      <w:tr w:rsidR="00507221" w:rsidRPr="009269A3" w14:paraId="795619B6" w14:textId="77777777" w:rsidTr="00507221">
        <w:trPr>
          <w:trHeight w:val="349"/>
        </w:trPr>
        <w:tc>
          <w:tcPr>
            <w:cnfStyle w:val="001000000000" w:firstRow="0" w:lastRow="0" w:firstColumn="1" w:lastColumn="0" w:oddVBand="0" w:evenVBand="0" w:oddHBand="0" w:evenHBand="0" w:firstRowFirstColumn="0" w:firstRowLastColumn="0" w:lastRowFirstColumn="0" w:lastRowLastColumn="0"/>
            <w:tcW w:w="1960" w:type="dxa"/>
            <w:noWrap/>
            <w:hideMark/>
          </w:tcPr>
          <w:p w14:paraId="5BC9CCF4" w14:textId="77777777" w:rsidR="00507221" w:rsidRPr="00243FE6" w:rsidRDefault="00507221" w:rsidP="00507221">
            <w:pPr>
              <w:pStyle w:val="BodyText"/>
              <w:jc w:val="center"/>
              <w:rPr>
                <w:color w:val="auto"/>
              </w:rPr>
            </w:pPr>
            <w:r w:rsidRPr="00243FE6">
              <w:rPr>
                <w:color w:val="auto"/>
              </w:rPr>
              <w:t>Qualification</w:t>
            </w:r>
          </w:p>
        </w:tc>
        <w:tc>
          <w:tcPr>
            <w:tcW w:w="1720" w:type="dxa"/>
            <w:noWrap/>
            <w:hideMark/>
          </w:tcPr>
          <w:p w14:paraId="67C8A473" w14:textId="77777777"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p>
        </w:tc>
        <w:tc>
          <w:tcPr>
            <w:tcW w:w="1780" w:type="dxa"/>
            <w:tcBorders>
              <w:top w:val="single" w:sz="6" w:space="0" w:color="7AA3AA" w:themeColor="accent2"/>
              <w:left w:val="single" w:sz="4" w:space="0" w:color="auto"/>
              <w:bottom w:val="single" w:sz="6" w:space="0" w:color="7AA3AA" w:themeColor="accent2"/>
              <w:right w:val="single" w:sz="6" w:space="0" w:color="7AA3AA" w:themeColor="accent2"/>
            </w:tcBorders>
            <w:shd w:val="clear" w:color="auto" w:fill="auto"/>
            <w:noWrap/>
            <w:vAlign w:val="bottom"/>
            <w:hideMark/>
          </w:tcPr>
          <w:p w14:paraId="1759BAA1" w14:textId="63D3F269"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 </w:t>
            </w:r>
          </w:p>
        </w:tc>
        <w:tc>
          <w:tcPr>
            <w:tcW w:w="172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685966B6" w14:textId="1F8B8CC4"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£283,612</w:t>
            </w:r>
          </w:p>
        </w:tc>
        <w:tc>
          <w:tcPr>
            <w:tcW w:w="118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48C6451C" w14:textId="7C2CDFA6" w:rsidR="00507221" w:rsidRPr="00507221"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£283,612</w:t>
            </w:r>
          </w:p>
        </w:tc>
      </w:tr>
      <w:tr w:rsidR="00507221" w:rsidRPr="009269A3" w14:paraId="4AA38F85" w14:textId="77777777" w:rsidTr="00507221">
        <w:trPr>
          <w:trHeight w:val="34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77255373" w14:textId="77777777" w:rsidR="00507221" w:rsidRPr="00243FE6" w:rsidRDefault="00507221" w:rsidP="00507221">
            <w:pPr>
              <w:pStyle w:val="BodyText"/>
              <w:jc w:val="center"/>
              <w:rPr>
                <w:color w:val="auto"/>
              </w:rPr>
            </w:pPr>
            <w:r w:rsidRPr="00243FE6">
              <w:rPr>
                <w:color w:val="auto"/>
              </w:rPr>
              <w:t>Training</w:t>
            </w:r>
          </w:p>
        </w:tc>
        <w:tc>
          <w:tcPr>
            <w:tcW w:w="1720" w:type="dxa"/>
            <w:noWrap/>
            <w:hideMark/>
          </w:tcPr>
          <w:p w14:paraId="6DFF5830" w14:textId="77777777"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243FE6">
              <w:rPr>
                <w:color w:val="auto"/>
              </w:rPr>
              <w:t>19</w:t>
            </w:r>
          </w:p>
        </w:tc>
        <w:tc>
          <w:tcPr>
            <w:tcW w:w="1780" w:type="dxa"/>
            <w:tcBorders>
              <w:top w:val="single" w:sz="6" w:space="0" w:color="7AA3AA" w:themeColor="accent2"/>
              <w:left w:val="single" w:sz="4" w:space="0" w:color="auto"/>
              <w:bottom w:val="single" w:sz="6" w:space="0" w:color="7AA3AA" w:themeColor="accent2"/>
              <w:right w:val="single" w:sz="6" w:space="0" w:color="7AA3AA" w:themeColor="accent2"/>
            </w:tcBorders>
            <w:shd w:val="clear" w:color="auto" w:fill="auto"/>
            <w:noWrap/>
            <w:vAlign w:val="bottom"/>
            <w:hideMark/>
          </w:tcPr>
          <w:p w14:paraId="77E71B8D" w14:textId="16CA51F2"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£7,507</w:t>
            </w:r>
          </w:p>
        </w:tc>
        <w:tc>
          <w:tcPr>
            <w:tcW w:w="172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7818E2A3" w14:textId="6AB65B9F"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 </w:t>
            </w:r>
          </w:p>
        </w:tc>
        <w:tc>
          <w:tcPr>
            <w:tcW w:w="118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6DBB6F23" w14:textId="3B94CE2F" w:rsidR="00507221" w:rsidRPr="00507221"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£7,507</w:t>
            </w:r>
          </w:p>
        </w:tc>
      </w:tr>
      <w:tr w:rsidR="00507221" w:rsidRPr="009269A3" w14:paraId="5BD91690" w14:textId="77777777" w:rsidTr="00507221">
        <w:trPr>
          <w:trHeight w:val="34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7FC5BA41" w14:textId="77777777" w:rsidR="00507221" w:rsidRPr="00243FE6" w:rsidRDefault="00507221" w:rsidP="00507221">
            <w:pPr>
              <w:pStyle w:val="BodyText"/>
              <w:jc w:val="center"/>
              <w:rPr>
                <w:color w:val="auto"/>
              </w:rPr>
            </w:pPr>
            <w:r w:rsidRPr="00243FE6">
              <w:rPr>
                <w:color w:val="auto"/>
              </w:rPr>
              <w:t>Disputes</w:t>
            </w:r>
          </w:p>
        </w:tc>
        <w:tc>
          <w:tcPr>
            <w:tcW w:w="1720" w:type="dxa"/>
            <w:noWrap/>
            <w:hideMark/>
          </w:tcPr>
          <w:p w14:paraId="5F8740C1" w14:textId="77777777"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243FE6">
              <w:rPr>
                <w:color w:val="auto"/>
              </w:rPr>
              <w:t>191</w:t>
            </w:r>
          </w:p>
        </w:tc>
        <w:tc>
          <w:tcPr>
            <w:tcW w:w="1780" w:type="dxa"/>
            <w:tcBorders>
              <w:top w:val="single" w:sz="6" w:space="0" w:color="7AA3AA" w:themeColor="accent2"/>
              <w:left w:val="single" w:sz="4" w:space="0" w:color="auto"/>
              <w:bottom w:val="single" w:sz="6" w:space="0" w:color="7AA3AA" w:themeColor="accent2"/>
              <w:right w:val="single" w:sz="6" w:space="0" w:color="7AA3AA" w:themeColor="accent2"/>
            </w:tcBorders>
            <w:shd w:val="clear" w:color="auto" w:fill="auto"/>
            <w:noWrap/>
            <w:vAlign w:val="bottom"/>
            <w:hideMark/>
          </w:tcPr>
          <w:p w14:paraId="62CC10BD" w14:textId="389E122B"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£69,489</w:t>
            </w:r>
          </w:p>
        </w:tc>
        <w:tc>
          <w:tcPr>
            <w:tcW w:w="172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49AB20B0" w14:textId="232BC188"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 </w:t>
            </w:r>
          </w:p>
        </w:tc>
        <w:tc>
          <w:tcPr>
            <w:tcW w:w="118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4511EDB5" w14:textId="4BB73D9B" w:rsidR="00507221" w:rsidRPr="00507221"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£69,489</w:t>
            </w:r>
          </w:p>
        </w:tc>
      </w:tr>
      <w:tr w:rsidR="00507221" w:rsidRPr="009269A3" w14:paraId="47652147" w14:textId="77777777" w:rsidTr="00507221">
        <w:trPr>
          <w:trHeight w:val="34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32437C0A" w14:textId="77777777" w:rsidR="00507221" w:rsidRPr="00243FE6" w:rsidRDefault="00507221" w:rsidP="00507221">
            <w:pPr>
              <w:pStyle w:val="BodyText"/>
              <w:jc w:val="center"/>
              <w:rPr>
                <w:color w:val="auto"/>
              </w:rPr>
            </w:pPr>
            <w:r w:rsidRPr="00243FE6">
              <w:rPr>
                <w:color w:val="auto"/>
              </w:rPr>
              <w:t>EFR</w:t>
            </w:r>
          </w:p>
        </w:tc>
        <w:tc>
          <w:tcPr>
            <w:tcW w:w="1720" w:type="dxa"/>
            <w:noWrap/>
            <w:hideMark/>
          </w:tcPr>
          <w:p w14:paraId="61FA4A6C" w14:textId="77777777"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243FE6">
              <w:rPr>
                <w:color w:val="auto"/>
              </w:rPr>
              <w:t>136</w:t>
            </w:r>
          </w:p>
        </w:tc>
        <w:tc>
          <w:tcPr>
            <w:tcW w:w="1780" w:type="dxa"/>
            <w:tcBorders>
              <w:top w:val="single" w:sz="6" w:space="0" w:color="7AA3AA" w:themeColor="accent2"/>
              <w:left w:val="single" w:sz="4" w:space="0" w:color="auto"/>
              <w:bottom w:val="single" w:sz="6" w:space="0" w:color="7AA3AA" w:themeColor="accent2"/>
              <w:right w:val="single" w:sz="6" w:space="0" w:color="7AA3AA" w:themeColor="accent2"/>
            </w:tcBorders>
            <w:shd w:val="clear" w:color="auto" w:fill="auto"/>
            <w:noWrap/>
            <w:vAlign w:val="bottom"/>
            <w:hideMark/>
          </w:tcPr>
          <w:p w14:paraId="5A05F350" w14:textId="10A045E2"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£67,957</w:t>
            </w:r>
          </w:p>
        </w:tc>
        <w:tc>
          <w:tcPr>
            <w:tcW w:w="172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31543B59" w14:textId="6FA5B622"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 </w:t>
            </w:r>
          </w:p>
        </w:tc>
        <w:tc>
          <w:tcPr>
            <w:tcW w:w="118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0775A5C5" w14:textId="661E6C9D" w:rsidR="00507221" w:rsidRPr="00507221"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£67,957</w:t>
            </w:r>
          </w:p>
        </w:tc>
      </w:tr>
      <w:tr w:rsidR="00507221" w:rsidRPr="009269A3" w14:paraId="321E00FE" w14:textId="77777777" w:rsidTr="00507221">
        <w:trPr>
          <w:trHeight w:val="34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0DBA68CD" w14:textId="77777777" w:rsidR="00507221" w:rsidRPr="00243FE6" w:rsidRDefault="00507221" w:rsidP="00507221">
            <w:pPr>
              <w:pStyle w:val="BodyText"/>
              <w:jc w:val="center"/>
              <w:rPr>
                <w:color w:val="auto"/>
              </w:rPr>
            </w:pPr>
            <w:r w:rsidRPr="00243FE6">
              <w:rPr>
                <w:color w:val="auto"/>
              </w:rPr>
              <w:t>BSC Audit</w:t>
            </w:r>
          </w:p>
        </w:tc>
        <w:tc>
          <w:tcPr>
            <w:tcW w:w="1720" w:type="dxa"/>
            <w:noWrap/>
            <w:hideMark/>
          </w:tcPr>
          <w:p w14:paraId="4353494E" w14:textId="77777777"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243FE6">
              <w:rPr>
                <w:color w:val="auto"/>
              </w:rPr>
              <w:t>53</w:t>
            </w:r>
          </w:p>
        </w:tc>
        <w:tc>
          <w:tcPr>
            <w:tcW w:w="1780" w:type="dxa"/>
            <w:tcBorders>
              <w:top w:val="single" w:sz="6" w:space="0" w:color="7AA3AA" w:themeColor="accent2"/>
              <w:left w:val="single" w:sz="4" w:space="0" w:color="auto"/>
              <w:bottom w:val="single" w:sz="6" w:space="0" w:color="7AA3AA" w:themeColor="accent2"/>
              <w:right w:val="single" w:sz="6" w:space="0" w:color="7AA3AA" w:themeColor="accent2"/>
            </w:tcBorders>
            <w:shd w:val="clear" w:color="auto" w:fill="auto"/>
            <w:noWrap/>
            <w:vAlign w:val="bottom"/>
            <w:hideMark/>
          </w:tcPr>
          <w:p w14:paraId="6D2FFE17" w14:textId="17B992BA"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£22,698</w:t>
            </w:r>
          </w:p>
        </w:tc>
        <w:tc>
          <w:tcPr>
            <w:tcW w:w="172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6533A081" w14:textId="10C4E862"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£1,260,676</w:t>
            </w:r>
          </w:p>
        </w:tc>
        <w:tc>
          <w:tcPr>
            <w:tcW w:w="118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08A1614A" w14:textId="29A1ECE4" w:rsidR="00507221" w:rsidRPr="00507221"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£1,283,374</w:t>
            </w:r>
          </w:p>
        </w:tc>
      </w:tr>
      <w:tr w:rsidR="00507221" w:rsidRPr="009269A3" w14:paraId="3BA4B31A" w14:textId="77777777" w:rsidTr="00507221">
        <w:trPr>
          <w:trHeight w:val="34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4418D116" w14:textId="71E80A61" w:rsidR="00507221" w:rsidRPr="00243FE6" w:rsidRDefault="00507221" w:rsidP="00507221">
            <w:pPr>
              <w:pStyle w:val="BodyText"/>
              <w:jc w:val="center"/>
              <w:rPr>
                <w:color w:val="auto"/>
              </w:rPr>
            </w:pPr>
            <w:r>
              <w:rPr>
                <w:color w:val="auto"/>
              </w:rPr>
              <w:t>TAPAP</w:t>
            </w:r>
            <w:r w:rsidRPr="00243FE6">
              <w:rPr>
                <w:color w:val="auto"/>
              </w:rPr>
              <w:t>/TAM</w:t>
            </w:r>
          </w:p>
        </w:tc>
        <w:tc>
          <w:tcPr>
            <w:tcW w:w="1720" w:type="dxa"/>
            <w:noWrap/>
            <w:hideMark/>
          </w:tcPr>
          <w:p w14:paraId="071A1768" w14:textId="77777777"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243FE6">
              <w:rPr>
                <w:color w:val="auto"/>
              </w:rPr>
              <w:t>423</w:t>
            </w:r>
          </w:p>
        </w:tc>
        <w:tc>
          <w:tcPr>
            <w:tcW w:w="1780" w:type="dxa"/>
            <w:tcBorders>
              <w:top w:val="single" w:sz="6" w:space="0" w:color="7AA3AA" w:themeColor="accent2"/>
              <w:left w:val="single" w:sz="4" w:space="0" w:color="auto"/>
              <w:bottom w:val="single" w:sz="6" w:space="0" w:color="7AA3AA" w:themeColor="accent2"/>
              <w:right w:val="single" w:sz="6" w:space="0" w:color="7AA3AA" w:themeColor="accent2"/>
            </w:tcBorders>
            <w:shd w:val="clear" w:color="auto" w:fill="auto"/>
            <w:noWrap/>
            <w:vAlign w:val="bottom"/>
            <w:hideMark/>
          </w:tcPr>
          <w:p w14:paraId="0F009F2A" w14:textId="447EF9D0"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£162,923</w:t>
            </w:r>
          </w:p>
        </w:tc>
        <w:tc>
          <w:tcPr>
            <w:tcW w:w="172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25E6D272" w14:textId="4D592A5E"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£678,448</w:t>
            </w:r>
          </w:p>
        </w:tc>
        <w:tc>
          <w:tcPr>
            <w:tcW w:w="118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23241E22" w14:textId="5A56B31D" w:rsidR="00507221" w:rsidRPr="00507221"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£841,371</w:t>
            </w:r>
          </w:p>
        </w:tc>
      </w:tr>
      <w:tr w:rsidR="00507221" w:rsidRPr="009269A3" w14:paraId="4EE96893" w14:textId="77777777" w:rsidTr="00507221">
        <w:trPr>
          <w:trHeight w:val="34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3877C17D" w14:textId="77777777" w:rsidR="00507221" w:rsidRPr="00243FE6" w:rsidRDefault="00507221" w:rsidP="00507221">
            <w:pPr>
              <w:pStyle w:val="BodyText"/>
              <w:jc w:val="center"/>
              <w:rPr>
                <w:color w:val="auto"/>
              </w:rPr>
            </w:pPr>
            <w:r w:rsidRPr="00243FE6">
              <w:rPr>
                <w:color w:val="auto"/>
              </w:rPr>
              <w:t>Committee Support</w:t>
            </w:r>
          </w:p>
        </w:tc>
        <w:tc>
          <w:tcPr>
            <w:tcW w:w="1720" w:type="dxa"/>
            <w:noWrap/>
            <w:hideMark/>
          </w:tcPr>
          <w:p w14:paraId="6546B877" w14:textId="77777777"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243FE6">
              <w:rPr>
                <w:color w:val="auto"/>
              </w:rPr>
              <w:t>167</w:t>
            </w:r>
          </w:p>
        </w:tc>
        <w:tc>
          <w:tcPr>
            <w:tcW w:w="1780" w:type="dxa"/>
            <w:tcBorders>
              <w:top w:val="single" w:sz="6" w:space="0" w:color="7AA3AA" w:themeColor="accent2"/>
              <w:left w:val="single" w:sz="4" w:space="0" w:color="auto"/>
              <w:bottom w:val="single" w:sz="6" w:space="0" w:color="7AA3AA" w:themeColor="accent2"/>
              <w:right w:val="single" w:sz="6" w:space="0" w:color="7AA3AA" w:themeColor="accent2"/>
            </w:tcBorders>
            <w:shd w:val="clear" w:color="auto" w:fill="auto"/>
            <w:noWrap/>
            <w:vAlign w:val="bottom"/>
            <w:hideMark/>
          </w:tcPr>
          <w:p w14:paraId="651FA830" w14:textId="7BE5DF33"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£116,653</w:t>
            </w:r>
          </w:p>
        </w:tc>
        <w:tc>
          <w:tcPr>
            <w:tcW w:w="172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0A84160D" w14:textId="5CA46AC5"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£14,598</w:t>
            </w:r>
          </w:p>
        </w:tc>
        <w:tc>
          <w:tcPr>
            <w:tcW w:w="118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084EB7AF" w14:textId="7BA8E548" w:rsidR="00507221" w:rsidRPr="00507221"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£131,251</w:t>
            </w:r>
          </w:p>
        </w:tc>
      </w:tr>
      <w:tr w:rsidR="00507221" w:rsidRPr="009269A3" w14:paraId="4D7B0299" w14:textId="77777777" w:rsidTr="00507221">
        <w:trPr>
          <w:trHeight w:val="34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6B5DAB7D" w14:textId="77777777" w:rsidR="00507221" w:rsidRPr="00243FE6" w:rsidRDefault="00507221" w:rsidP="00507221">
            <w:pPr>
              <w:pStyle w:val="BodyText"/>
              <w:jc w:val="center"/>
              <w:rPr>
                <w:color w:val="auto"/>
              </w:rPr>
            </w:pPr>
            <w:r w:rsidRPr="00243FE6">
              <w:rPr>
                <w:color w:val="auto"/>
              </w:rPr>
              <w:t>Risk Management</w:t>
            </w:r>
          </w:p>
        </w:tc>
        <w:tc>
          <w:tcPr>
            <w:tcW w:w="1720" w:type="dxa"/>
            <w:noWrap/>
            <w:hideMark/>
          </w:tcPr>
          <w:p w14:paraId="0388BD52" w14:textId="77777777"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243FE6">
              <w:rPr>
                <w:color w:val="auto"/>
              </w:rPr>
              <w:t>257</w:t>
            </w:r>
          </w:p>
        </w:tc>
        <w:tc>
          <w:tcPr>
            <w:tcW w:w="1780" w:type="dxa"/>
            <w:tcBorders>
              <w:top w:val="single" w:sz="6" w:space="0" w:color="7AA3AA" w:themeColor="accent2"/>
              <w:left w:val="single" w:sz="4" w:space="0" w:color="auto"/>
              <w:bottom w:val="single" w:sz="6" w:space="0" w:color="7AA3AA" w:themeColor="accent2"/>
              <w:right w:val="single" w:sz="6" w:space="0" w:color="7AA3AA" w:themeColor="accent2"/>
            </w:tcBorders>
            <w:shd w:val="clear" w:color="auto" w:fill="auto"/>
            <w:noWrap/>
            <w:vAlign w:val="bottom"/>
            <w:hideMark/>
          </w:tcPr>
          <w:p w14:paraId="2FD39D46" w14:textId="1EFA63A6"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£118,698</w:t>
            </w:r>
          </w:p>
        </w:tc>
        <w:tc>
          <w:tcPr>
            <w:tcW w:w="172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64455FE4" w14:textId="1B56D286"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£252,787</w:t>
            </w:r>
          </w:p>
        </w:tc>
        <w:tc>
          <w:tcPr>
            <w:tcW w:w="118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547CA962" w14:textId="11B53C25" w:rsidR="00507221" w:rsidRPr="00507221"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£371,485</w:t>
            </w:r>
          </w:p>
        </w:tc>
      </w:tr>
      <w:tr w:rsidR="00507221" w:rsidRPr="009269A3" w14:paraId="1E84076A" w14:textId="77777777" w:rsidTr="00507221">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031F73F0" w14:textId="77777777" w:rsidR="00507221" w:rsidRPr="00243FE6" w:rsidRDefault="00507221" w:rsidP="00507221">
            <w:pPr>
              <w:pStyle w:val="BodyText"/>
              <w:jc w:val="center"/>
              <w:rPr>
                <w:b/>
                <w:bCs/>
                <w:sz w:val="18"/>
              </w:rPr>
            </w:pPr>
            <w:r w:rsidRPr="00243FE6">
              <w:rPr>
                <w:b/>
                <w:bCs/>
                <w:sz w:val="18"/>
              </w:rPr>
              <w:t>Total</w:t>
            </w:r>
          </w:p>
        </w:tc>
        <w:tc>
          <w:tcPr>
            <w:tcW w:w="1720" w:type="dxa"/>
            <w:noWrap/>
            <w:hideMark/>
          </w:tcPr>
          <w:p w14:paraId="68AF752F" w14:textId="3D06E6B2" w:rsidR="00507221" w:rsidRPr="00243FE6"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b/>
                <w:bCs/>
                <w:sz w:val="18"/>
              </w:rPr>
            </w:pPr>
            <w:r>
              <w:rPr>
                <w:b/>
                <w:bCs/>
                <w:sz w:val="18"/>
              </w:rPr>
              <w:t>1246</w:t>
            </w:r>
          </w:p>
        </w:tc>
        <w:tc>
          <w:tcPr>
            <w:tcW w:w="1780" w:type="dxa"/>
            <w:tcBorders>
              <w:top w:val="single" w:sz="6" w:space="0" w:color="7AA3AA" w:themeColor="accent2"/>
              <w:left w:val="single" w:sz="4" w:space="0" w:color="auto"/>
              <w:bottom w:val="single" w:sz="6" w:space="0" w:color="7AA3AA" w:themeColor="accent2"/>
              <w:right w:val="single" w:sz="6" w:space="0" w:color="7AA3AA" w:themeColor="accent2"/>
            </w:tcBorders>
            <w:shd w:val="clear" w:color="auto" w:fill="auto"/>
            <w:noWrap/>
            <w:vAlign w:val="bottom"/>
            <w:hideMark/>
          </w:tcPr>
          <w:p w14:paraId="2E2F725B" w14:textId="15FE2C1C" w:rsidR="00507221" w:rsidRPr="00507221"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£565,924</w:t>
            </w:r>
          </w:p>
        </w:tc>
        <w:tc>
          <w:tcPr>
            <w:tcW w:w="172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6D42D536" w14:textId="3906BB68" w:rsidR="00507221" w:rsidRPr="00507221"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sidRPr="00507221">
              <w:rPr>
                <w:color w:val="auto"/>
              </w:rPr>
              <w:t>£2,</w:t>
            </w:r>
            <w:r>
              <w:rPr>
                <w:color w:val="auto"/>
              </w:rPr>
              <w:t>490,121</w:t>
            </w:r>
          </w:p>
        </w:tc>
        <w:tc>
          <w:tcPr>
            <w:tcW w:w="1180" w:type="dxa"/>
            <w:tcBorders>
              <w:top w:val="single" w:sz="6" w:space="0" w:color="7AA3AA" w:themeColor="accent2"/>
              <w:left w:val="single" w:sz="6" w:space="0" w:color="7AA3AA" w:themeColor="accent2"/>
              <w:bottom w:val="single" w:sz="6" w:space="0" w:color="7AA3AA" w:themeColor="accent2"/>
              <w:right w:val="single" w:sz="6" w:space="0" w:color="7AA3AA" w:themeColor="accent2"/>
            </w:tcBorders>
            <w:shd w:val="clear" w:color="auto" w:fill="auto"/>
            <w:noWrap/>
            <w:vAlign w:val="bottom"/>
            <w:hideMark/>
          </w:tcPr>
          <w:p w14:paraId="37FA75C0" w14:textId="77F6DA75" w:rsidR="00507221" w:rsidRPr="00507221" w:rsidRDefault="00507221" w:rsidP="00507221">
            <w:pPr>
              <w:pStyle w:val="BodyText"/>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£3,056,045</w:t>
            </w:r>
          </w:p>
        </w:tc>
      </w:tr>
    </w:tbl>
    <w:p w14:paraId="4A1D3DFB" w14:textId="77777777" w:rsidR="00E252E5" w:rsidRDefault="00E252E5" w:rsidP="00623044">
      <w:pPr>
        <w:pStyle w:val="Heading"/>
      </w:pPr>
    </w:p>
    <w:p w14:paraId="5EDFA32B" w14:textId="77777777" w:rsidR="00623044" w:rsidRPr="00A04E07" w:rsidRDefault="00623044" w:rsidP="00623044">
      <w:pPr>
        <w:pStyle w:val="Heading"/>
      </w:pPr>
      <w:bookmarkStart w:id="28" w:name="_Toc35421325"/>
      <w:r w:rsidRPr="00A04E07">
        <w:t>Contractual Costs</w:t>
      </w:r>
      <w:bookmarkEnd w:id="26"/>
      <w:bookmarkEnd w:id="27"/>
      <w:bookmarkEnd w:id="28"/>
    </w:p>
    <w:p w14:paraId="4483926B" w14:textId="12DF258A" w:rsidR="00623044" w:rsidRDefault="00623044" w:rsidP="00623044">
      <w:pPr>
        <w:pStyle w:val="BodyText"/>
      </w:pPr>
      <w:r w:rsidRPr="00A04E07">
        <w:t>We derived the 201</w:t>
      </w:r>
      <w:r w:rsidR="00291C33">
        <w:t>9/20</w:t>
      </w:r>
      <w:r w:rsidRPr="00A04E07">
        <w:t xml:space="preserve"> contractual costs from the Balancing and Settlement Code (BSC) budget </w:t>
      </w:r>
      <w:r>
        <w:t>forecasts</w:t>
      </w:r>
      <w:r w:rsidRPr="00A04E07">
        <w:t xml:space="preserve"> as of September 201</w:t>
      </w:r>
      <w:r w:rsidR="00A44A16">
        <w:t>8</w:t>
      </w:r>
      <w:r w:rsidRPr="00A04E07">
        <w:t>. These figures</w:t>
      </w:r>
      <w:r>
        <w:t xml:space="preserve"> include RPI and</w:t>
      </w:r>
      <w:r w:rsidRPr="00A04E07">
        <w:t xml:space="preserve"> are subject to amendment to reflect contractual changes and changes to indicative costs</w:t>
      </w:r>
      <w:r>
        <w:t xml:space="preserve"> e.g. ad hoc and variable expenses</w:t>
      </w:r>
      <w:r w:rsidRPr="00A04E07">
        <w:t xml:space="preserve">. </w:t>
      </w:r>
    </w:p>
    <w:p w14:paraId="15AFE0A0" w14:textId="1749042A" w:rsidR="00E61D8B" w:rsidRDefault="00E61D8B" w:rsidP="00623044">
      <w:pPr>
        <w:pStyle w:val="BodyText"/>
      </w:pPr>
    </w:p>
    <w:p w14:paraId="15D6BE8A" w14:textId="783352D5" w:rsidR="00E61D8B" w:rsidRPr="00A04E07" w:rsidRDefault="00E61D8B" w:rsidP="00E61D8B">
      <w:pPr>
        <w:pStyle w:val="Heading"/>
      </w:pPr>
      <w:r>
        <w:t>2020/2021 Forecasted</w:t>
      </w:r>
      <w:r w:rsidRPr="00A04E07">
        <w:t xml:space="preserve"> Costs</w:t>
      </w:r>
    </w:p>
    <w:p w14:paraId="0694FEFF" w14:textId="08A05A1A" w:rsidR="00243FE6" w:rsidRDefault="00E61D8B" w:rsidP="00623044">
      <w:pPr>
        <w:pStyle w:val="BodyText"/>
      </w:pPr>
      <w:r>
        <w:t>The forecasted increase in Contractual costs include RPI and</w:t>
      </w:r>
      <w:r w:rsidRPr="00A04E07">
        <w:t xml:space="preserve"> are subject to amendment to reflect contractual changes and changes to indicative costs</w:t>
      </w:r>
      <w:r>
        <w:t xml:space="preserve"> e.g. ad hoc and variable expenses. The forecasted increase in Operational costs assume an increase in Operational days for Risk Management as this process has been embedding over the course of this year, and we anticipate further activity in this area in the coming year.</w:t>
      </w:r>
    </w:p>
    <w:p w14:paraId="1D07343C" w14:textId="77777777" w:rsidR="00243FE6" w:rsidRDefault="00243FE6" w:rsidP="00623044">
      <w:pPr>
        <w:pStyle w:val="BodyText"/>
      </w:pPr>
    </w:p>
    <w:p w14:paraId="386BB318" w14:textId="77777777" w:rsidR="00243FE6" w:rsidRDefault="00243FE6" w:rsidP="00623044">
      <w:pPr>
        <w:pStyle w:val="BodyText"/>
      </w:pPr>
    </w:p>
    <w:p w14:paraId="16C27CA2" w14:textId="77777777" w:rsidR="00243FE6" w:rsidRDefault="00243FE6" w:rsidP="00623044">
      <w:pPr>
        <w:pStyle w:val="BodyText"/>
      </w:pPr>
    </w:p>
    <w:p w14:paraId="3E340F52" w14:textId="77777777" w:rsidR="00243FE6" w:rsidRDefault="00243FE6" w:rsidP="00623044">
      <w:pPr>
        <w:pStyle w:val="BodyText"/>
      </w:pPr>
    </w:p>
    <w:p w14:paraId="6E3C86AA" w14:textId="77777777" w:rsidR="00E252E5" w:rsidRPr="00A04E07" w:rsidRDefault="00912C85" w:rsidP="00E252E5">
      <w:pPr>
        <w:pStyle w:val="Heading"/>
      </w:pPr>
      <w:bookmarkStart w:id="29" w:name="_Toc35421326"/>
      <w:r>
        <w:t>What happens next?</w:t>
      </w:r>
      <w:bookmarkEnd w:id="29"/>
    </w:p>
    <w:p w14:paraId="23072BB5" w14:textId="77777777" w:rsidR="00E252E5" w:rsidRDefault="00912C85" w:rsidP="00E252E5">
      <w:pPr>
        <w:pStyle w:val="BodyText"/>
      </w:pPr>
      <w:r>
        <w:t>ELEXON will proceed to deliver and manage the specific actions laid out in this Risk Operating Plan over the course of the PAOP.</w:t>
      </w:r>
    </w:p>
    <w:p w14:paraId="652493A5" w14:textId="77777777" w:rsidR="00912C85" w:rsidRDefault="00912C85" w:rsidP="00E252E5">
      <w:pPr>
        <w:pStyle w:val="BodyText"/>
      </w:pPr>
    </w:p>
    <w:p w14:paraId="4741196D" w14:textId="0AAD55DD" w:rsidR="00912C85" w:rsidRDefault="00912C85" w:rsidP="00E252E5">
      <w:pPr>
        <w:pStyle w:val="BodyText"/>
      </w:pPr>
      <w:r>
        <w:t>ELEXON will provide insight via Quarterly Performance Assurance Reports.</w:t>
      </w:r>
    </w:p>
    <w:p w14:paraId="27794770" w14:textId="6F339611" w:rsidR="00912C85" w:rsidRDefault="00912C85" w:rsidP="00E252E5">
      <w:pPr>
        <w:pStyle w:val="BodyText"/>
      </w:pPr>
      <w:r>
        <w:t>These will be presented to the Performance Assurance Board at the following monthly meetings</w:t>
      </w:r>
      <w:r w:rsidR="00E61D8B">
        <w:t xml:space="preserve"> and published on the ELEXON website:</w:t>
      </w:r>
    </w:p>
    <w:p w14:paraId="72B6492F" w14:textId="77777777" w:rsidR="00912C85" w:rsidRDefault="00912C85" w:rsidP="00E252E5">
      <w:pPr>
        <w:pStyle w:val="BodyText"/>
      </w:pPr>
    </w:p>
    <w:p w14:paraId="56228470" w14:textId="77777777" w:rsidR="00912C85" w:rsidRPr="00912C85" w:rsidRDefault="00912C85" w:rsidP="00E252E5">
      <w:pPr>
        <w:pStyle w:val="ListBullet"/>
      </w:pPr>
      <w:r>
        <w:rPr>
          <w:color w:val="000000"/>
        </w:rPr>
        <w:t>July 2020</w:t>
      </w:r>
    </w:p>
    <w:p w14:paraId="053F99FA" w14:textId="77777777" w:rsidR="00912C85" w:rsidRPr="00912C85" w:rsidRDefault="00912C85" w:rsidP="00E252E5">
      <w:pPr>
        <w:pStyle w:val="ListBullet"/>
      </w:pPr>
      <w:r>
        <w:rPr>
          <w:color w:val="000000"/>
        </w:rPr>
        <w:t>October 2020</w:t>
      </w:r>
    </w:p>
    <w:p w14:paraId="7402C4C3" w14:textId="77777777" w:rsidR="00912C85" w:rsidRPr="00912C85" w:rsidRDefault="00912C85" w:rsidP="00E252E5">
      <w:pPr>
        <w:pStyle w:val="ListBullet"/>
      </w:pPr>
      <w:r>
        <w:rPr>
          <w:color w:val="000000"/>
        </w:rPr>
        <w:t>January 2021</w:t>
      </w:r>
    </w:p>
    <w:p w14:paraId="29436ED8" w14:textId="77777777" w:rsidR="00912C85" w:rsidRPr="00912C85" w:rsidRDefault="00912C85" w:rsidP="00E252E5">
      <w:pPr>
        <w:pStyle w:val="ListBullet"/>
      </w:pPr>
      <w:r>
        <w:rPr>
          <w:color w:val="000000"/>
        </w:rPr>
        <w:t>April 2021 (via Annual Performance Assurance Report)</w:t>
      </w:r>
    </w:p>
    <w:p w14:paraId="1B000DA4" w14:textId="77777777" w:rsidR="00912C85" w:rsidRDefault="00912C85" w:rsidP="00912C85">
      <w:pPr>
        <w:pStyle w:val="ListBullet"/>
        <w:numPr>
          <w:ilvl w:val="0"/>
          <w:numId w:val="0"/>
        </w:numPr>
        <w:ind w:left="1021" w:hanging="397"/>
        <w:rPr>
          <w:color w:val="000000"/>
        </w:rPr>
      </w:pPr>
    </w:p>
    <w:p w14:paraId="6C1816C1" w14:textId="77777777" w:rsidR="00912C85" w:rsidRDefault="00912C85" w:rsidP="00F61E61">
      <w:pPr>
        <w:pStyle w:val="Boldheading"/>
      </w:pPr>
      <w:r>
        <w:t>If you have any questions or comments regarding this Risk Operating Plan</w:t>
      </w:r>
      <w:r w:rsidR="00F61E61">
        <w:t xml:space="preserve"> or any questions regarding Settlement Risk management</w:t>
      </w:r>
      <w:r>
        <w:t>, please contact</w:t>
      </w:r>
    </w:p>
    <w:p w14:paraId="732DE392" w14:textId="77777777" w:rsidR="00912C85" w:rsidRDefault="00912C85" w:rsidP="00912C85">
      <w:pPr>
        <w:pStyle w:val="ListBullet"/>
        <w:numPr>
          <w:ilvl w:val="0"/>
          <w:numId w:val="0"/>
        </w:numPr>
        <w:ind w:left="1021" w:hanging="397"/>
        <w:rPr>
          <w:color w:val="000000"/>
        </w:rPr>
      </w:pPr>
    </w:p>
    <w:p w14:paraId="428042D0" w14:textId="77777777" w:rsidR="00912C85" w:rsidRDefault="00912C85" w:rsidP="00F61E61">
      <w:pPr>
        <w:pStyle w:val="BodyText"/>
      </w:pPr>
      <w:r>
        <w:t>Ryan Dale</w:t>
      </w:r>
    </w:p>
    <w:p w14:paraId="4D8FF942" w14:textId="77777777" w:rsidR="00912C85" w:rsidRDefault="00912C85" w:rsidP="00F61E61">
      <w:pPr>
        <w:pStyle w:val="BodyText"/>
      </w:pPr>
      <w:r>
        <w:t>Compliance Manager</w:t>
      </w:r>
    </w:p>
    <w:p w14:paraId="275A2EB2" w14:textId="77777777" w:rsidR="00912C85" w:rsidRPr="00912C85" w:rsidRDefault="00912C85" w:rsidP="00F61E61">
      <w:pPr>
        <w:pStyle w:val="BodyText"/>
      </w:pPr>
      <w:r w:rsidRPr="00912C85">
        <w:t>Direct line: 020 7380 4117</w:t>
      </w:r>
    </w:p>
    <w:p w14:paraId="49BE34B6" w14:textId="77777777" w:rsidR="00912C85" w:rsidRDefault="00912C85" w:rsidP="00F61E61">
      <w:pPr>
        <w:pStyle w:val="BodyText"/>
      </w:pPr>
      <w:r w:rsidRPr="00912C85">
        <w:t>Mobile: 07551 124649</w:t>
      </w:r>
    </w:p>
    <w:p w14:paraId="20F8FFFD" w14:textId="77777777" w:rsidR="00912C85" w:rsidRDefault="00912C85" w:rsidP="00F61E61">
      <w:pPr>
        <w:pStyle w:val="BodyText"/>
      </w:pPr>
    </w:p>
    <w:p w14:paraId="0B814689" w14:textId="77777777" w:rsidR="00912C85" w:rsidRDefault="00912C85" w:rsidP="00F61E61">
      <w:pPr>
        <w:pStyle w:val="BodyText"/>
      </w:pPr>
      <w:r>
        <w:t>Alternatively, email</w:t>
      </w:r>
    </w:p>
    <w:p w14:paraId="797B9D07" w14:textId="77777777" w:rsidR="00912C85" w:rsidRPr="00912C85" w:rsidRDefault="00912C85" w:rsidP="00243FE6">
      <w:pPr>
        <w:pStyle w:val="Boldheading"/>
      </w:pPr>
      <w:r>
        <w:t>risk@elexon.co.uk</w:t>
      </w:r>
    </w:p>
    <w:p w14:paraId="16441CA4" w14:textId="77777777" w:rsidR="00912C85" w:rsidRDefault="00912C85" w:rsidP="00912C85">
      <w:pPr>
        <w:pStyle w:val="ListBullet"/>
        <w:numPr>
          <w:ilvl w:val="0"/>
          <w:numId w:val="0"/>
        </w:numPr>
        <w:ind w:left="1021" w:hanging="397"/>
      </w:pPr>
    </w:p>
    <w:p w14:paraId="4E0B863C" w14:textId="77777777" w:rsidR="00B21FBB" w:rsidRDefault="00B21FBB" w:rsidP="001A705C"/>
    <w:sectPr w:rsidR="00B21FBB" w:rsidSect="00594593">
      <w:pgSz w:w="11906" w:h="16838"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1C2F" w14:textId="77777777" w:rsidR="003F70B3" w:rsidRDefault="003F70B3" w:rsidP="00D00160">
      <w:pPr>
        <w:spacing w:after="0"/>
      </w:pPr>
      <w:r>
        <w:separator/>
      </w:r>
    </w:p>
    <w:p w14:paraId="7ACC1435" w14:textId="77777777" w:rsidR="003F70B3" w:rsidRDefault="003F70B3"/>
    <w:p w14:paraId="02302CFE" w14:textId="77777777" w:rsidR="003F70B3" w:rsidRDefault="003F70B3"/>
    <w:p w14:paraId="0D3AC9F1" w14:textId="77777777" w:rsidR="003F70B3" w:rsidRDefault="003F70B3"/>
  </w:endnote>
  <w:endnote w:type="continuationSeparator" w:id="0">
    <w:p w14:paraId="7E2E32BF" w14:textId="77777777" w:rsidR="003F70B3" w:rsidRDefault="003F70B3" w:rsidP="00D00160">
      <w:pPr>
        <w:spacing w:after="0"/>
      </w:pPr>
      <w:r>
        <w:continuationSeparator/>
      </w:r>
    </w:p>
    <w:p w14:paraId="4D5DB240" w14:textId="77777777" w:rsidR="003F70B3" w:rsidRDefault="003F70B3"/>
    <w:p w14:paraId="1E8C0FDA" w14:textId="77777777" w:rsidR="003F70B3" w:rsidRDefault="003F70B3"/>
    <w:p w14:paraId="7E48E66C" w14:textId="77777777" w:rsidR="003F70B3" w:rsidRDefault="003F7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F620B" w14:textId="77777777" w:rsidR="003F70B3" w:rsidRPr="000C4DC9" w:rsidRDefault="003F70B3"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3F70B3" w14:paraId="15E71F82" w14:textId="77777777" w:rsidTr="00DF08D4">
      <w:trPr>
        <w:trHeight w:val="159"/>
      </w:trPr>
      <w:tc>
        <w:tcPr>
          <w:tcW w:w="2296" w:type="dxa"/>
          <w:tcBorders>
            <w:top w:val="single" w:sz="36" w:space="0" w:color="0090AB" w:themeColor="text2"/>
          </w:tcBorders>
        </w:tcPr>
        <w:p w14:paraId="3F311304" w14:textId="77777777" w:rsidR="003F70B3" w:rsidRDefault="003F70B3" w:rsidP="00DF08D4">
          <w:pPr>
            <w:pStyle w:val="1pt"/>
          </w:pPr>
        </w:p>
      </w:tc>
      <w:tc>
        <w:tcPr>
          <w:tcW w:w="284" w:type="dxa"/>
        </w:tcPr>
        <w:p w14:paraId="58B3642E" w14:textId="77777777" w:rsidR="003F70B3" w:rsidRDefault="003F70B3" w:rsidP="00DF08D4">
          <w:pPr>
            <w:pStyle w:val="1pt"/>
          </w:pPr>
        </w:p>
      </w:tc>
      <w:tc>
        <w:tcPr>
          <w:tcW w:w="2714" w:type="dxa"/>
          <w:tcBorders>
            <w:top w:val="single" w:sz="36" w:space="0" w:color="0090AB" w:themeColor="text2"/>
          </w:tcBorders>
        </w:tcPr>
        <w:p w14:paraId="75172FD8" w14:textId="77777777" w:rsidR="003F70B3" w:rsidRDefault="003F70B3" w:rsidP="00DF08D4">
          <w:pPr>
            <w:pStyle w:val="1pt"/>
          </w:pPr>
        </w:p>
      </w:tc>
      <w:tc>
        <w:tcPr>
          <w:tcW w:w="2712" w:type="dxa"/>
          <w:tcBorders>
            <w:top w:val="single" w:sz="36" w:space="0" w:color="0090AB" w:themeColor="text2"/>
          </w:tcBorders>
        </w:tcPr>
        <w:p w14:paraId="15936A55" w14:textId="77777777" w:rsidR="003F70B3" w:rsidRDefault="003F70B3" w:rsidP="00DF08D4">
          <w:pPr>
            <w:pStyle w:val="1pt"/>
          </w:pPr>
        </w:p>
      </w:tc>
      <w:tc>
        <w:tcPr>
          <w:tcW w:w="2301" w:type="dxa"/>
          <w:tcBorders>
            <w:top w:val="single" w:sz="36" w:space="0" w:color="0090AB" w:themeColor="text2"/>
          </w:tcBorders>
        </w:tcPr>
        <w:p w14:paraId="5362F1E7" w14:textId="77777777" w:rsidR="003F70B3" w:rsidRPr="009845EB" w:rsidRDefault="003F70B3" w:rsidP="00DF08D4">
          <w:pPr>
            <w:pStyle w:val="1pt"/>
          </w:pPr>
        </w:p>
      </w:tc>
    </w:tr>
    <w:tr w:rsidR="003F70B3" w14:paraId="40312235" w14:textId="77777777" w:rsidTr="00DF08D4">
      <w:trPr>
        <w:trHeight w:val="357"/>
      </w:trPr>
      <w:tc>
        <w:tcPr>
          <w:tcW w:w="2296" w:type="dxa"/>
        </w:tcPr>
        <w:p w14:paraId="5EB089FA" w14:textId="77777777" w:rsidR="003F70B3" w:rsidRPr="00BF573B" w:rsidRDefault="003F70B3" w:rsidP="00DF08D4">
          <w:pPr>
            <w:pStyle w:val="Footer"/>
          </w:pPr>
          <w:r>
            <w:rPr>
              <w:noProof/>
            </w:rPr>
            <w:fldChar w:fldCharType="begin"/>
          </w:r>
          <w:r>
            <w:rPr>
              <w:noProof/>
            </w:rPr>
            <w:instrText xml:space="preserve"> STYLEREF  "Footer Ref 1"  \* MERGEFORMAT </w:instrText>
          </w:r>
          <w:r>
            <w:rPr>
              <w:noProof/>
            </w:rPr>
            <w:fldChar w:fldCharType="separate"/>
          </w:r>
          <w:r>
            <w:rPr>
              <w:b/>
              <w:bCs/>
              <w:noProof/>
              <w:lang w:val="en-US"/>
            </w:rPr>
            <w:t>Error! No text of specified style in document.</w:t>
          </w:r>
          <w:r>
            <w:rPr>
              <w:noProof/>
            </w:rPr>
            <w:fldChar w:fldCharType="end"/>
          </w:r>
        </w:p>
      </w:tc>
      <w:tc>
        <w:tcPr>
          <w:tcW w:w="284" w:type="dxa"/>
        </w:tcPr>
        <w:p w14:paraId="35AA2E29" w14:textId="77777777" w:rsidR="003F70B3" w:rsidRDefault="003F70B3" w:rsidP="00DF08D4">
          <w:pPr>
            <w:pStyle w:val="Footer"/>
          </w:pPr>
        </w:p>
      </w:tc>
      <w:tc>
        <w:tcPr>
          <w:tcW w:w="5426" w:type="dxa"/>
          <w:gridSpan w:val="2"/>
        </w:tcPr>
        <w:p w14:paraId="5CB9BBC6" w14:textId="77777777" w:rsidR="003F70B3" w:rsidRDefault="003F70B3" w:rsidP="00DF08D4">
          <w:pPr>
            <w:pStyle w:val="Footer"/>
          </w:pPr>
          <w:r>
            <w:fldChar w:fldCharType="begin"/>
          </w:r>
          <w:r>
            <w:instrText xml:space="preserve"> STYLEREF  "Footer Ref 2"  \* MERGEFORMAT </w:instrText>
          </w:r>
          <w:r>
            <w:fldChar w:fldCharType="separate"/>
          </w:r>
          <w:r>
            <w:rPr>
              <w:b/>
              <w:bCs/>
              <w:noProof/>
              <w:lang w:val="en-US"/>
            </w:rPr>
            <w:t>Error! No text of specified style in document.</w:t>
          </w:r>
          <w:r>
            <w:rPr>
              <w:noProof/>
            </w:rPr>
            <w:fldChar w:fldCharType="end"/>
          </w:r>
        </w:p>
      </w:tc>
      <w:tc>
        <w:tcPr>
          <w:tcW w:w="2301" w:type="dxa"/>
          <w:vMerge w:val="restart"/>
          <w:vAlign w:val="bottom"/>
        </w:tcPr>
        <w:p w14:paraId="5C6595D0" w14:textId="77777777" w:rsidR="003F70B3" w:rsidRDefault="003F70B3" w:rsidP="00DF08D4">
          <w:pPr>
            <w:pStyle w:val="Footer"/>
          </w:pPr>
          <w:r>
            <w:rPr>
              <w:rFonts w:hint="eastAsia"/>
              <w:noProof/>
              <w:lang w:eastAsia="en-GB"/>
            </w:rPr>
            <w:drawing>
              <wp:inline distT="0" distB="0" distL="0" distR="0" wp14:anchorId="28CD29F2" wp14:editId="61CEE0F5">
                <wp:extent cx="1461960" cy="36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3F70B3" w14:paraId="7ACC6FA7" w14:textId="77777777" w:rsidTr="00DF08D4">
      <w:trPr>
        <w:trHeight w:val="295"/>
      </w:trPr>
      <w:tc>
        <w:tcPr>
          <w:tcW w:w="2296" w:type="dxa"/>
        </w:tcPr>
        <w:p w14:paraId="37FA1655" w14:textId="77777777" w:rsidR="003F70B3" w:rsidRPr="004873F8" w:rsidRDefault="003F70B3" w:rsidP="00DF08D4">
          <w:pPr>
            <w:pStyle w:val="Footer"/>
          </w:pPr>
          <w:r w:rsidRPr="004873F8">
            <w:t xml:space="preserve">Page </w:t>
          </w:r>
          <w:r>
            <w:fldChar w:fldCharType="begin"/>
          </w:r>
          <w:r>
            <w:instrText xml:space="preserve"> PAGE  \* Arabic  \* MERGEFORMAT </w:instrText>
          </w:r>
          <w:r>
            <w:fldChar w:fldCharType="separate"/>
          </w:r>
          <w:r>
            <w:rPr>
              <w:noProof/>
            </w:rPr>
            <w:t>3</w:t>
          </w:r>
          <w:r>
            <w:rPr>
              <w:noProof/>
            </w:rPr>
            <w:fldChar w:fldCharType="end"/>
          </w:r>
          <w:r w:rsidRPr="004873F8">
            <w:t xml:space="preserve"> of </w:t>
          </w:r>
          <w:r>
            <w:rPr>
              <w:noProof/>
            </w:rPr>
            <w:fldChar w:fldCharType="begin"/>
          </w:r>
          <w:r>
            <w:rPr>
              <w:noProof/>
            </w:rPr>
            <w:instrText xml:space="preserve"> NUMPAGES  \* Arabic  \* MERGEFORMAT </w:instrText>
          </w:r>
          <w:r>
            <w:rPr>
              <w:noProof/>
            </w:rPr>
            <w:fldChar w:fldCharType="separate"/>
          </w:r>
          <w:r>
            <w:rPr>
              <w:noProof/>
            </w:rPr>
            <w:t>15</w:t>
          </w:r>
          <w:r>
            <w:rPr>
              <w:noProof/>
            </w:rPr>
            <w:fldChar w:fldCharType="end"/>
          </w:r>
        </w:p>
      </w:tc>
      <w:tc>
        <w:tcPr>
          <w:tcW w:w="284" w:type="dxa"/>
        </w:tcPr>
        <w:p w14:paraId="103794DF" w14:textId="77777777" w:rsidR="003F70B3" w:rsidRDefault="003F70B3" w:rsidP="00DF08D4">
          <w:pPr>
            <w:pStyle w:val="Footer"/>
          </w:pPr>
        </w:p>
      </w:tc>
      <w:tc>
        <w:tcPr>
          <w:tcW w:w="2714" w:type="dxa"/>
        </w:tcPr>
        <w:p w14:paraId="3F56E842" w14:textId="77777777" w:rsidR="003F70B3" w:rsidRDefault="003F70B3" w:rsidP="00DF08D4">
          <w:pPr>
            <w:pStyle w:val="Footer"/>
          </w:pPr>
          <w:r>
            <w:fldChar w:fldCharType="begin"/>
          </w:r>
          <w:r>
            <w:instrText xml:space="preserve"> STYLEREF  "Footer Date"  \* MERGEFORMAT </w:instrText>
          </w:r>
          <w:r>
            <w:fldChar w:fldCharType="separate"/>
          </w:r>
          <w:r>
            <w:rPr>
              <w:b/>
              <w:bCs/>
              <w:noProof/>
              <w:lang w:val="en-US"/>
            </w:rPr>
            <w:t>Error! No text of specified style in document.</w:t>
          </w:r>
          <w:r>
            <w:rPr>
              <w:noProof/>
            </w:rPr>
            <w:fldChar w:fldCharType="end"/>
          </w:r>
        </w:p>
      </w:tc>
      <w:tc>
        <w:tcPr>
          <w:tcW w:w="2712" w:type="dxa"/>
        </w:tcPr>
        <w:p w14:paraId="0418FD21" w14:textId="4F5759A2" w:rsidR="003F70B3" w:rsidRDefault="003F70B3" w:rsidP="00DF08D4">
          <w:pPr>
            <w:pStyle w:val="Footer"/>
          </w:pPr>
          <w:r>
            <w:t xml:space="preserve">© ELEXON </w:t>
          </w:r>
          <w:r>
            <w:fldChar w:fldCharType="begin"/>
          </w:r>
          <w:r>
            <w:instrText xml:space="preserve"> DATE  \@ "yyyy" </w:instrText>
          </w:r>
          <w:r>
            <w:fldChar w:fldCharType="separate"/>
          </w:r>
          <w:r w:rsidR="00DC2BC3">
            <w:rPr>
              <w:noProof/>
            </w:rPr>
            <w:t>2020</w:t>
          </w:r>
          <w:r>
            <w:fldChar w:fldCharType="end"/>
          </w:r>
        </w:p>
      </w:tc>
      <w:tc>
        <w:tcPr>
          <w:tcW w:w="2301" w:type="dxa"/>
          <w:vMerge/>
        </w:tcPr>
        <w:p w14:paraId="4DB38399" w14:textId="77777777" w:rsidR="003F70B3" w:rsidRDefault="003F70B3" w:rsidP="00DF08D4">
          <w:pPr>
            <w:pStyle w:val="Footer"/>
          </w:pPr>
        </w:p>
      </w:tc>
    </w:tr>
  </w:tbl>
  <w:p w14:paraId="0FE4492A" w14:textId="77777777" w:rsidR="003F70B3" w:rsidRDefault="003F70B3" w:rsidP="00025A8A">
    <w:pPr>
      <w:pStyle w:val="1pt"/>
    </w:pPr>
  </w:p>
  <w:p w14:paraId="43D78E86" w14:textId="77777777" w:rsidR="003F70B3" w:rsidRDefault="003F70B3" w:rsidP="009137F2">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2296"/>
      <w:gridCol w:w="284"/>
      <w:gridCol w:w="2715"/>
      <w:gridCol w:w="2710"/>
      <w:gridCol w:w="2302"/>
    </w:tblGrid>
    <w:tr w:rsidR="003F70B3" w14:paraId="308EB5D3" w14:textId="77777777" w:rsidTr="00AA08DB">
      <w:trPr>
        <w:trHeight w:val="159"/>
      </w:trPr>
      <w:tc>
        <w:tcPr>
          <w:tcW w:w="2296" w:type="dxa"/>
          <w:tcBorders>
            <w:top w:val="single" w:sz="36" w:space="0" w:color="0090AB" w:themeColor="text2"/>
          </w:tcBorders>
        </w:tcPr>
        <w:p w14:paraId="6940A451" w14:textId="77777777" w:rsidR="003F70B3" w:rsidRDefault="003F70B3" w:rsidP="00EF2549">
          <w:pPr>
            <w:pStyle w:val="1pt"/>
          </w:pPr>
        </w:p>
      </w:tc>
      <w:tc>
        <w:tcPr>
          <w:tcW w:w="284" w:type="dxa"/>
        </w:tcPr>
        <w:p w14:paraId="6FEC9C94" w14:textId="77777777" w:rsidR="003F70B3" w:rsidRDefault="003F70B3" w:rsidP="00EF2549">
          <w:pPr>
            <w:pStyle w:val="1pt"/>
          </w:pPr>
        </w:p>
      </w:tc>
      <w:tc>
        <w:tcPr>
          <w:tcW w:w="2715" w:type="dxa"/>
          <w:tcBorders>
            <w:top w:val="single" w:sz="36" w:space="0" w:color="0090AB" w:themeColor="text2"/>
          </w:tcBorders>
        </w:tcPr>
        <w:p w14:paraId="633FBBD8" w14:textId="77777777" w:rsidR="003F70B3" w:rsidRDefault="003F70B3" w:rsidP="00EF2549">
          <w:pPr>
            <w:pStyle w:val="1pt"/>
          </w:pPr>
        </w:p>
      </w:tc>
      <w:tc>
        <w:tcPr>
          <w:tcW w:w="2710" w:type="dxa"/>
          <w:tcBorders>
            <w:top w:val="single" w:sz="36" w:space="0" w:color="0090AB" w:themeColor="text2"/>
          </w:tcBorders>
        </w:tcPr>
        <w:p w14:paraId="1F1644D5" w14:textId="77777777" w:rsidR="003F70B3" w:rsidRDefault="003F70B3" w:rsidP="00EF2549">
          <w:pPr>
            <w:pStyle w:val="1pt"/>
          </w:pPr>
        </w:p>
      </w:tc>
      <w:tc>
        <w:tcPr>
          <w:tcW w:w="2302" w:type="dxa"/>
          <w:tcBorders>
            <w:top w:val="single" w:sz="36" w:space="0" w:color="0090AB" w:themeColor="text2"/>
          </w:tcBorders>
        </w:tcPr>
        <w:p w14:paraId="345B606B" w14:textId="77777777" w:rsidR="003F70B3" w:rsidRPr="009845EB" w:rsidRDefault="003F70B3" w:rsidP="00EF2549">
          <w:pPr>
            <w:pStyle w:val="1pt"/>
          </w:pPr>
        </w:p>
      </w:tc>
    </w:tr>
    <w:tr w:rsidR="003F70B3" w14:paraId="7FC9557A" w14:textId="77777777" w:rsidTr="00AA08DB">
      <w:trPr>
        <w:trHeight w:val="357"/>
      </w:trPr>
      <w:tc>
        <w:tcPr>
          <w:tcW w:w="2296" w:type="dxa"/>
        </w:tcPr>
        <w:p w14:paraId="6DE22808" w14:textId="77777777" w:rsidR="003F70B3" w:rsidRPr="00BF573B" w:rsidRDefault="003F70B3" w:rsidP="00BF573B">
          <w:pPr>
            <w:pStyle w:val="Footer"/>
          </w:pPr>
        </w:p>
      </w:tc>
      <w:tc>
        <w:tcPr>
          <w:tcW w:w="284" w:type="dxa"/>
        </w:tcPr>
        <w:p w14:paraId="1826A695" w14:textId="77777777" w:rsidR="003F70B3" w:rsidRDefault="003F70B3" w:rsidP="00C75A66">
          <w:pPr>
            <w:pStyle w:val="Footer"/>
          </w:pPr>
        </w:p>
      </w:tc>
      <w:tc>
        <w:tcPr>
          <w:tcW w:w="5425" w:type="dxa"/>
          <w:gridSpan w:val="2"/>
        </w:tcPr>
        <w:p w14:paraId="1DD1565B" w14:textId="77777777" w:rsidR="003F70B3" w:rsidRPr="003D42E1" w:rsidRDefault="003F70B3" w:rsidP="009137F2">
          <w:pPr>
            <w:pStyle w:val="Footer"/>
          </w:pPr>
        </w:p>
      </w:tc>
      <w:tc>
        <w:tcPr>
          <w:tcW w:w="2302" w:type="dxa"/>
          <w:vMerge w:val="restart"/>
          <w:vAlign w:val="bottom"/>
        </w:tcPr>
        <w:p w14:paraId="02EAABB1" w14:textId="77777777" w:rsidR="003F70B3" w:rsidRDefault="003F70B3" w:rsidP="003812E8">
          <w:pPr>
            <w:pStyle w:val="Footer"/>
          </w:pPr>
          <w:r>
            <w:rPr>
              <w:rFonts w:hint="eastAsia"/>
              <w:noProof/>
              <w:lang w:eastAsia="en-GB"/>
            </w:rPr>
            <w:drawing>
              <wp:inline distT="0" distB="0" distL="0" distR="0" wp14:anchorId="7B00C5EB" wp14:editId="67B5C9D8">
                <wp:extent cx="1461960" cy="3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3F70B3" w14:paraId="43F37A89" w14:textId="77777777" w:rsidTr="00AA08DB">
      <w:trPr>
        <w:trHeight w:val="295"/>
      </w:trPr>
      <w:tc>
        <w:tcPr>
          <w:tcW w:w="2296" w:type="dxa"/>
        </w:tcPr>
        <w:p w14:paraId="69E121A8" w14:textId="77777777" w:rsidR="003F70B3" w:rsidRPr="004873F8" w:rsidRDefault="003F70B3" w:rsidP="00C75A66">
          <w:pPr>
            <w:pStyle w:val="Footer"/>
          </w:pPr>
        </w:p>
      </w:tc>
      <w:tc>
        <w:tcPr>
          <w:tcW w:w="284" w:type="dxa"/>
        </w:tcPr>
        <w:p w14:paraId="7CD51001" w14:textId="77777777" w:rsidR="003F70B3" w:rsidRDefault="003F70B3" w:rsidP="00C75A66">
          <w:pPr>
            <w:pStyle w:val="Footer"/>
          </w:pPr>
        </w:p>
      </w:tc>
      <w:tc>
        <w:tcPr>
          <w:tcW w:w="2715" w:type="dxa"/>
        </w:tcPr>
        <w:p w14:paraId="14D3FEBC" w14:textId="77777777" w:rsidR="003F70B3" w:rsidRDefault="003F70B3" w:rsidP="009137F2">
          <w:pPr>
            <w:pStyle w:val="Footer"/>
          </w:pPr>
        </w:p>
      </w:tc>
      <w:tc>
        <w:tcPr>
          <w:tcW w:w="2710" w:type="dxa"/>
        </w:tcPr>
        <w:p w14:paraId="23E03C41" w14:textId="77777777" w:rsidR="003F70B3" w:rsidRDefault="003F70B3" w:rsidP="00C75A66">
          <w:pPr>
            <w:pStyle w:val="Footer"/>
          </w:pPr>
        </w:p>
      </w:tc>
      <w:tc>
        <w:tcPr>
          <w:tcW w:w="2302" w:type="dxa"/>
          <w:vMerge/>
        </w:tcPr>
        <w:p w14:paraId="6C7447CD" w14:textId="77777777" w:rsidR="003F70B3" w:rsidRDefault="003F70B3" w:rsidP="00580B4F">
          <w:pPr>
            <w:pStyle w:val="Footer"/>
          </w:pPr>
        </w:p>
      </w:tc>
    </w:tr>
  </w:tbl>
  <w:p w14:paraId="6EB0A55F" w14:textId="77777777" w:rsidR="003F70B3" w:rsidRDefault="003F70B3" w:rsidP="00FA790F">
    <w:pPr>
      <w:pStyle w:val="1p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486C" w14:textId="77777777" w:rsidR="003F70B3" w:rsidRDefault="003F70B3" w:rsidP="006E30CA">
    <w:pPr>
      <w:pStyle w:val="Footer"/>
    </w:pPr>
    <w:r>
      <w:t>ROP 2020/21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C910" w14:textId="77777777" w:rsidR="003F70B3" w:rsidRDefault="003F70B3">
    <w:pPr>
      <w:pStyle w:val="Footer"/>
    </w:pPr>
    <w:r>
      <w:t>ROP 2020/21</w:t>
    </w:r>
  </w:p>
  <w:p w14:paraId="3B8D4F71" w14:textId="77777777" w:rsidR="003F70B3" w:rsidRDefault="003F70B3" w:rsidP="00FA790F">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DB737" w14:textId="77777777" w:rsidR="003F70B3" w:rsidRDefault="003F70B3" w:rsidP="00D00160">
      <w:pPr>
        <w:spacing w:after="0"/>
      </w:pPr>
      <w:r>
        <w:separator/>
      </w:r>
    </w:p>
    <w:p w14:paraId="629A9717" w14:textId="77777777" w:rsidR="003F70B3" w:rsidRDefault="003F70B3"/>
    <w:p w14:paraId="5FA32C96" w14:textId="77777777" w:rsidR="003F70B3" w:rsidRDefault="003F70B3"/>
    <w:p w14:paraId="11F27187" w14:textId="77777777" w:rsidR="003F70B3" w:rsidRDefault="003F70B3"/>
  </w:footnote>
  <w:footnote w:type="continuationSeparator" w:id="0">
    <w:p w14:paraId="3EA89E2D" w14:textId="77777777" w:rsidR="003F70B3" w:rsidRDefault="003F70B3" w:rsidP="00D00160">
      <w:pPr>
        <w:spacing w:after="0"/>
      </w:pPr>
      <w:r>
        <w:continuationSeparator/>
      </w:r>
    </w:p>
    <w:p w14:paraId="65C8FF15" w14:textId="77777777" w:rsidR="003F70B3" w:rsidRDefault="003F70B3"/>
    <w:p w14:paraId="6AEEC78E" w14:textId="77777777" w:rsidR="003F70B3" w:rsidRDefault="003F70B3"/>
    <w:p w14:paraId="656A873F" w14:textId="77777777" w:rsidR="003F70B3" w:rsidRDefault="003F70B3"/>
  </w:footnote>
  <w:footnote w:id="1">
    <w:p w14:paraId="6DEC06AD" w14:textId="77777777" w:rsidR="003F70B3" w:rsidRDefault="003F70B3" w:rsidP="002A21B5">
      <w:pPr>
        <w:pStyle w:val="FootnoteText"/>
      </w:pPr>
      <w:r>
        <w:rPr>
          <w:rStyle w:val="FootnoteReference"/>
        </w:rPr>
        <w:footnoteRef/>
      </w:r>
      <w:r>
        <w:t xml:space="preserve"> The Risk Evaluation Register is available on the ELEXON website </w:t>
      </w:r>
      <w:hyperlink r:id="rId1" w:history="1">
        <w:r w:rsidRPr="00755648">
          <w:rPr>
            <w:rStyle w:val="Hyperlink"/>
          </w:rPr>
          <w:t>[link]</w:t>
        </w:r>
      </w:hyperlink>
    </w:p>
  </w:footnote>
  <w:footnote w:id="2">
    <w:p w14:paraId="12C90938" w14:textId="77777777" w:rsidR="003F70B3" w:rsidRDefault="003F70B3" w:rsidP="002A21B5">
      <w:pPr>
        <w:pStyle w:val="FootnoteText"/>
      </w:pPr>
      <w:r>
        <w:rPr>
          <w:rStyle w:val="FootnoteReference"/>
        </w:rPr>
        <w:footnoteRef/>
      </w:r>
      <w:r>
        <w:t xml:space="preserve"> The Impact is a £ error value forecast according to the Risk Evaluation Methodology – see the methodology for more information </w:t>
      </w:r>
      <w:hyperlink r:id="rId2" w:history="1">
        <w:r w:rsidRPr="00755648">
          <w:rPr>
            <w:rStyle w:val="Hyperlink"/>
          </w:rPr>
          <w:t>[link]</w:t>
        </w:r>
      </w:hyperlink>
      <w:r>
        <w:t>; the Target Impact is the £ error value that expresses the PAB’s tolerance for the error</w:t>
      </w:r>
    </w:p>
  </w:footnote>
  <w:footnote w:id="3">
    <w:p w14:paraId="45737240" w14:textId="77777777" w:rsidR="003F70B3" w:rsidRDefault="003F70B3" w:rsidP="002A21B5">
      <w:pPr>
        <w:pStyle w:val="FootnoteText"/>
      </w:pPr>
      <w:r>
        <w:rPr>
          <w:rStyle w:val="FootnoteReference"/>
        </w:rPr>
        <w:footnoteRef/>
      </w:r>
      <w:r>
        <w:t xml:space="preserve"> Events are scenarios that may impact multiple risks; they are described within the RER</w:t>
      </w:r>
    </w:p>
  </w:footnote>
  <w:footnote w:id="4">
    <w:p w14:paraId="78F2D0F8" w14:textId="77777777" w:rsidR="003F70B3" w:rsidRDefault="003F70B3" w:rsidP="002A21B5">
      <w:pPr>
        <w:pStyle w:val="FootnoteText"/>
      </w:pPr>
      <w:r>
        <w:rPr>
          <w:rStyle w:val="FootnoteReference"/>
        </w:rPr>
        <w:footnoteRef/>
      </w:r>
      <w:r>
        <w:t xml:space="preserve"> </w:t>
      </w:r>
      <w:hyperlink r:id="rId3" w:history="1">
        <w:r w:rsidRPr="001B5966">
          <w:rPr>
            <w:rStyle w:val="Hyperlink"/>
          </w:rPr>
          <w:t>https://www.elexon.co.uk/reference/market-compliance/performance-assurance/performance-assurance-processes/</w:t>
        </w:r>
      </w:hyperlink>
    </w:p>
  </w:footnote>
  <w:footnote w:id="5">
    <w:p w14:paraId="1647C47D" w14:textId="77777777" w:rsidR="003F70B3" w:rsidRDefault="003F70B3">
      <w:pPr>
        <w:pStyle w:val="FootnoteText"/>
      </w:pPr>
      <w:r>
        <w:rPr>
          <w:rStyle w:val="FootnoteReference"/>
        </w:rPr>
        <w:footnoteRef/>
      </w:r>
      <w:r>
        <w:t xml:space="preserve"> </w:t>
      </w:r>
      <w:hyperlink r:id="rId4" w:history="1">
        <w:r w:rsidRPr="001B5966">
          <w:rPr>
            <w:rStyle w:val="Hyperlink"/>
          </w:rPr>
          <w:t>https://www.elexon.co.uk/bsc-and-codes/bsc-related-documents/bscps/</w:t>
        </w:r>
      </w:hyperlink>
    </w:p>
  </w:footnote>
  <w:footnote w:id="6">
    <w:p w14:paraId="5A49B5C4" w14:textId="77777777" w:rsidR="003F70B3" w:rsidRDefault="003F70B3">
      <w:pPr>
        <w:pStyle w:val="FootnoteText"/>
      </w:pPr>
      <w:r>
        <w:rPr>
          <w:rStyle w:val="FootnoteReference"/>
        </w:rPr>
        <w:footnoteRef/>
      </w:r>
      <w:r>
        <w:t xml:space="preserve"> </w:t>
      </w:r>
      <w:hyperlink r:id="rId5" w:history="1">
        <w:r w:rsidRPr="006F3DC6">
          <w:rPr>
            <w:rStyle w:val="Hyperlink"/>
          </w:rPr>
          <w:t>https://www.elexon.co.uk/reference/market-entry/sva-qualification/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BCB5" w14:textId="77777777" w:rsidR="003F70B3" w:rsidRDefault="003F70B3"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3F70B3" w:rsidRPr="009D47D6" w14:paraId="4BF32339" w14:textId="77777777" w:rsidTr="005A3992">
      <w:trPr>
        <w:cantSplit/>
        <w:trHeight w:hRule="exact" w:val="284"/>
      </w:trPr>
      <w:tc>
        <w:tcPr>
          <w:tcW w:w="10318" w:type="dxa"/>
          <w:tcBorders>
            <w:top w:val="nil"/>
            <w:bottom w:val="nil"/>
          </w:tcBorders>
        </w:tcPr>
        <w:p w14:paraId="23C15C00" w14:textId="77777777" w:rsidR="003F70B3" w:rsidRDefault="003F70B3" w:rsidP="005A3992">
          <w:pPr>
            <w:pStyle w:val="BodyText"/>
          </w:pPr>
        </w:p>
      </w:tc>
    </w:tr>
    <w:tr w:rsidR="003F70B3" w:rsidRPr="009D47D6" w14:paraId="5DBC0432" w14:textId="77777777" w:rsidTr="005A3992">
      <w:trPr>
        <w:cantSplit/>
        <w:trHeight w:hRule="exact" w:val="550"/>
      </w:trPr>
      <w:tc>
        <w:tcPr>
          <w:tcW w:w="10318" w:type="dxa"/>
          <w:tcBorders>
            <w:top w:val="nil"/>
          </w:tcBorders>
        </w:tcPr>
        <w:p w14:paraId="499B1687" w14:textId="77777777" w:rsidR="003F70B3" w:rsidRPr="009D47D6" w:rsidRDefault="003F70B3" w:rsidP="009D47D6">
          <w:pPr>
            <w:pStyle w:val="Title"/>
          </w:pPr>
          <w:r>
            <w:rPr>
              <w:noProof/>
            </w:rPr>
            <w:t>Risk Operating Plan 2020/21</w:t>
          </w:r>
        </w:p>
      </w:tc>
    </w:tr>
    <w:tr w:rsidR="003F70B3" w:rsidRPr="009D47D6" w14:paraId="5B2527BF" w14:textId="77777777" w:rsidTr="005A3992">
      <w:trPr>
        <w:cantSplit/>
        <w:trHeight w:hRule="exact" w:val="369"/>
      </w:trPr>
      <w:tc>
        <w:tcPr>
          <w:tcW w:w="10318" w:type="dxa"/>
        </w:tcPr>
        <w:p w14:paraId="10F9D320" w14:textId="77777777" w:rsidR="003F70B3" w:rsidRPr="009D47D6" w:rsidRDefault="003F70B3" w:rsidP="007B1DAF">
          <w:pPr>
            <w:pStyle w:val="BodyText"/>
          </w:pPr>
        </w:p>
      </w:tc>
    </w:tr>
  </w:tbl>
  <w:p w14:paraId="3B72C246" w14:textId="77777777" w:rsidR="003F70B3" w:rsidRPr="000C4DC9" w:rsidRDefault="003F70B3" w:rsidP="007B1DAF">
    <w:pPr>
      <w:pStyle w:val="1pt"/>
    </w:pPr>
  </w:p>
  <w:p w14:paraId="3C93C2E2" w14:textId="77777777" w:rsidR="003F70B3" w:rsidRDefault="003F70B3" w:rsidP="00025A8A">
    <w:pPr>
      <w:pStyle w:val="1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57BD" w14:textId="77777777" w:rsidR="003F70B3" w:rsidRDefault="003F70B3">
    <w:pPr>
      <w:pStyle w:val="Header"/>
    </w:pPr>
    <w:r>
      <w:rPr>
        <w:noProof/>
        <w:lang w:eastAsia="en-GB"/>
      </w:rPr>
      <w:drawing>
        <wp:anchor distT="0" distB="0" distL="114300" distR="114300" simplePos="0" relativeHeight="251659264" behindDoc="1" locked="0" layoutInCell="0" allowOverlap="1" wp14:anchorId="5899121C" wp14:editId="0358A6B9">
          <wp:simplePos x="0" y="0"/>
          <wp:positionH relativeFrom="page">
            <wp:align>left</wp:align>
          </wp:positionH>
          <wp:positionV relativeFrom="page">
            <wp:align>top</wp:align>
          </wp:positionV>
          <wp:extent cx="7558920" cy="10692000"/>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Cover_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92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2721" w14:textId="77777777" w:rsidR="003F70B3" w:rsidRDefault="003F70B3"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3F70B3" w:rsidRPr="009D47D6" w14:paraId="0CFADCF4" w14:textId="77777777" w:rsidTr="005A3992">
      <w:trPr>
        <w:cantSplit/>
        <w:trHeight w:hRule="exact" w:val="284"/>
      </w:trPr>
      <w:tc>
        <w:tcPr>
          <w:tcW w:w="10318" w:type="dxa"/>
          <w:tcBorders>
            <w:top w:val="nil"/>
            <w:bottom w:val="nil"/>
          </w:tcBorders>
        </w:tcPr>
        <w:p w14:paraId="72E3171E" w14:textId="77777777" w:rsidR="003F70B3" w:rsidRDefault="003F70B3" w:rsidP="005A3992">
          <w:pPr>
            <w:pStyle w:val="BodyText"/>
          </w:pPr>
        </w:p>
      </w:tc>
    </w:tr>
    <w:tr w:rsidR="003F70B3" w:rsidRPr="009D47D6" w14:paraId="53AB9501" w14:textId="77777777" w:rsidTr="006D69EF">
      <w:trPr>
        <w:cantSplit/>
        <w:trHeight w:val="550"/>
      </w:trPr>
      <w:tc>
        <w:tcPr>
          <w:tcW w:w="10318" w:type="dxa"/>
          <w:tcBorders>
            <w:top w:val="nil"/>
          </w:tcBorders>
        </w:tcPr>
        <w:p w14:paraId="0EFB2448" w14:textId="77777777" w:rsidR="003F70B3" w:rsidRPr="009D47D6" w:rsidRDefault="003F70B3" w:rsidP="00552587">
          <w:pPr>
            <w:pStyle w:val="Title"/>
          </w:pPr>
          <w:r>
            <w:t xml:space="preserve">risk operating plan </w:t>
          </w:r>
        </w:p>
      </w:tc>
    </w:tr>
    <w:tr w:rsidR="003F70B3" w:rsidRPr="009D47D6" w14:paraId="664D1C26" w14:textId="77777777" w:rsidTr="005A3992">
      <w:trPr>
        <w:cantSplit/>
        <w:trHeight w:hRule="exact" w:val="369"/>
      </w:trPr>
      <w:tc>
        <w:tcPr>
          <w:tcW w:w="10318" w:type="dxa"/>
        </w:tcPr>
        <w:p w14:paraId="78801FB3" w14:textId="77777777" w:rsidR="003F70B3" w:rsidRPr="009D47D6" w:rsidRDefault="003F70B3" w:rsidP="007B1DAF">
          <w:pPr>
            <w:pStyle w:val="BodyText"/>
          </w:pPr>
        </w:p>
      </w:tc>
    </w:tr>
  </w:tbl>
  <w:p w14:paraId="373DBD0A" w14:textId="77777777" w:rsidR="003F70B3" w:rsidRPr="000C4DC9" w:rsidRDefault="003F70B3" w:rsidP="007B1DAF">
    <w:pPr>
      <w:pStyle w:val="1pt"/>
    </w:pPr>
  </w:p>
  <w:p w14:paraId="5689FD4D" w14:textId="77777777" w:rsidR="003F70B3" w:rsidRDefault="003F70B3" w:rsidP="00025A8A">
    <w:pPr>
      <w:pStyle w:val="1p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1" w:type="dxa"/>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3141"/>
    </w:tblGrid>
    <w:tr w:rsidR="003F70B3" w:rsidRPr="009D47D6" w14:paraId="6C4C1CA3" w14:textId="77777777" w:rsidTr="000562D9">
      <w:trPr>
        <w:cantSplit/>
        <w:trHeight w:hRule="exact" w:val="568"/>
      </w:trPr>
      <w:tc>
        <w:tcPr>
          <w:tcW w:w="13141" w:type="dxa"/>
          <w:tcBorders>
            <w:top w:val="nil"/>
            <w:bottom w:val="nil"/>
          </w:tcBorders>
        </w:tcPr>
        <w:p w14:paraId="6844F605" w14:textId="77777777" w:rsidR="003F70B3" w:rsidRDefault="003F70B3" w:rsidP="000562D9">
          <w:pPr>
            <w:pStyle w:val="Title"/>
          </w:pPr>
          <w:r>
            <w:t>Risk Operating Plan</w:t>
          </w:r>
        </w:p>
        <w:p w14:paraId="389F127B" w14:textId="77777777" w:rsidR="003F70B3" w:rsidRDefault="003F70B3" w:rsidP="000562D9">
          <w:pPr>
            <w:pStyle w:val="Title"/>
          </w:pPr>
        </w:p>
        <w:p w14:paraId="4994CB67" w14:textId="77777777" w:rsidR="003F70B3" w:rsidRDefault="003F70B3" w:rsidP="00DF08D4">
          <w:pPr>
            <w:pStyle w:val="BodyText"/>
          </w:pPr>
        </w:p>
      </w:tc>
    </w:tr>
    <w:tr w:rsidR="003F70B3" w:rsidRPr="009D47D6" w14:paraId="1DAE451B" w14:textId="77777777" w:rsidTr="000562D9">
      <w:trPr>
        <w:cantSplit/>
        <w:trHeight w:hRule="exact" w:val="313"/>
      </w:trPr>
      <w:tc>
        <w:tcPr>
          <w:tcW w:w="13141" w:type="dxa"/>
        </w:tcPr>
        <w:p w14:paraId="3EF37A79" w14:textId="77777777" w:rsidR="003F70B3" w:rsidRPr="009D47D6" w:rsidRDefault="003F70B3" w:rsidP="00DF08D4">
          <w:pPr>
            <w:pStyle w:val="BodyText"/>
          </w:pPr>
        </w:p>
      </w:tc>
    </w:tr>
  </w:tbl>
  <w:p w14:paraId="419DEBC9" w14:textId="77777777" w:rsidR="003F70B3" w:rsidRDefault="003F70B3" w:rsidP="00056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2629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lvlText w:val="●"/>
      <w:lvlJc w:val="left"/>
      <w:pPr>
        <w:ind w:left="1021" w:hanging="397"/>
      </w:pPr>
      <w:rPr>
        <w:rFonts w:ascii="Arial" w:hAnsi="Arial" w:hint="default"/>
        <w:color w:val="0090AB" w:themeColor="text2"/>
        <w:sz w:val="22"/>
      </w:rPr>
    </w:lvl>
    <w:lvl w:ilvl="1">
      <w:start w:val="1"/>
      <w:numFmt w:val="bullet"/>
      <w:lvlText w:val="o"/>
      <w:lvlJc w:val="left"/>
      <w:pPr>
        <w:ind w:left="1418" w:hanging="397"/>
      </w:pPr>
      <w:rPr>
        <w:rFonts w:ascii="Courier New" w:hAnsi="Courier New" w:hint="default"/>
        <w:color w:val="0090AB" w:themeColor="text2"/>
      </w:rPr>
    </w:lvl>
    <w:lvl w:ilvl="2">
      <w:start w:val="1"/>
      <w:numFmt w:val="bullet"/>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519F137B"/>
    <w:multiLevelType w:val="hybridMultilevel"/>
    <w:tmpl w:val="8652A0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3D63850"/>
    <w:multiLevelType w:val="multilevel"/>
    <w:tmpl w:val="269C7F9C"/>
    <w:numStyleLink w:val="ListTable"/>
  </w:abstractNum>
  <w:abstractNum w:abstractNumId="9" w15:restartNumberingAfterBreak="0">
    <w:nsid w:val="7D004CA6"/>
    <w:multiLevelType w:val="multilevel"/>
    <w:tmpl w:val="2E4EC6B8"/>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num w:numId="1">
    <w:abstractNumId w:val="4"/>
  </w:num>
  <w:num w:numId="2">
    <w:abstractNumId w:val="1"/>
  </w:num>
  <w:num w:numId="3">
    <w:abstractNumId w:val="2"/>
  </w:num>
  <w:num w:numId="4">
    <w:abstractNumId w:val="5"/>
  </w:num>
  <w:num w:numId="5">
    <w:abstractNumId w:val="2"/>
  </w:num>
  <w:num w:numId="6">
    <w:abstractNumId w:val="3"/>
  </w:num>
  <w:num w:numId="7">
    <w:abstractNumId w:val="6"/>
  </w:num>
  <w:num w:numId="8">
    <w:abstractNumId w:val="8"/>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9"/>
  </w:num>
  <w:num w:numId="14">
    <w:abstractNumId w:val="9"/>
  </w:num>
  <w:num w:numId="15">
    <w:abstractNumId w:val="9"/>
  </w:num>
  <w:num w:numId="16">
    <w:abstractNumId w:val="9"/>
  </w:num>
  <w:num w:numId="17">
    <w:abstractNumId w:val="0"/>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SortMethod w:val="0000"/>
  <w:revisionView w:inkAnnotations="0"/>
  <w:defaultTabStop w:val="851"/>
  <w:drawingGridHorizontalSpacing w:val="100"/>
  <w:displayHorizontalDrawingGridEvery w:val="2"/>
  <w:displayVerticalDrawingGridEvery w:val="2"/>
  <w:characterSpacingControl w:val="doNotCompress"/>
  <w:hdrShapeDefaults>
    <o:shapedefaults v:ext="edit" spidmax="1228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BF"/>
    <w:rsid w:val="00000151"/>
    <w:rsid w:val="00001773"/>
    <w:rsid w:val="00003737"/>
    <w:rsid w:val="00003DBA"/>
    <w:rsid w:val="00004657"/>
    <w:rsid w:val="000054F0"/>
    <w:rsid w:val="00006FDE"/>
    <w:rsid w:val="00010E35"/>
    <w:rsid w:val="000128C9"/>
    <w:rsid w:val="00015631"/>
    <w:rsid w:val="00015705"/>
    <w:rsid w:val="0001665B"/>
    <w:rsid w:val="00022399"/>
    <w:rsid w:val="000239E8"/>
    <w:rsid w:val="00024FCF"/>
    <w:rsid w:val="00025108"/>
    <w:rsid w:val="00025A8A"/>
    <w:rsid w:val="00026FC0"/>
    <w:rsid w:val="00027188"/>
    <w:rsid w:val="00027940"/>
    <w:rsid w:val="00045857"/>
    <w:rsid w:val="00046974"/>
    <w:rsid w:val="00047923"/>
    <w:rsid w:val="00050889"/>
    <w:rsid w:val="000517EC"/>
    <w:rsid w:val="00051C54"/>
    <w:rsid w:val="00053540"/>
    <w:rsid w:val="000562D9"/>
    <w:rsid w:val="000573F4"/>
    <w:rsid w:val="0006412A"/>
    <w:rsid w:val="0006470B"/>
    <w:rsid w:val="00065C32"/>
    <w:rsid w:val="00072821"/>
    <w:rsid w:val="00074A6F"/>
    <w:rsid w:val="000811F6"/>
    <w:rsid w:val="00083A4B"/>
    <w:rsid w:val="0008486C"/>
    <w:rsid w:val="000901A9"/>
    <w:rsid w:val="000935AD"/>
    <w:rsid w:val="000940BB"/>
    <w:rsid w:val="00097AF4"/>
    <w:rsid w:val="000A149B"/>
    <w:rsid w:val="000A32E3"/>
    <w:rsid w:val="000A4208"/>
    <w:rsid w:val="000A4A5C"/>
    <w:rsid w:val="000A5589"/>
    <w:rsid w:val="000B0BF6"/>
    <w:rsid w:val="000B4916"/>
    <w:rsid w:val="000B527A"/>
    <w:rsid w:val="000B6054"/>
    <w:rsid w:val="000B64DB"/>
    <w:rsid w:val="000B7E3E"/>
    <w:rsid w:val="000C0795"/>
    <w:rsid w:val="000C12C3"/>
    <w:rsid w:val="000C223F"/>
    <w:rsid w:val="000C4DC9"/>
    <w:rsid w:val="000C4F41"/>
    <w:rsid w:val="000C543E"/>
    <w:rsid w:val="000D0A70"/>
    <w:rsid w:val="000D4049"/>
    <w:rsid w:val="000D5058"/>
    <w:rsid w:val="000D51A7"/>
    <w:rsid w:val="000D559A"/>
    <w:rsid w:val="000D6011"/>
    <w:rsid w:val="000D7476"/>
    <w:rsid w:val="000D75EF"/>
    <w:rsid w:val="000E08CC"/>
    <w:rsid w:val="000E15A4"/>
    <w:rsid w:val="000E25F9"/>
    <w:rsid w:val="000E69AC"/>
    <w:rsid w:val="000F22F8"/>
    <w:rsid w:val="000F3E75"/>
    <w:rsid w:val="000F44E9"/>
    <w:rsid w:val="000F670D"/>
    <w:rsid w:val="000F7690"/>
    <w:rsid w:val="00105F47"/>
    <w:rsid w:val="001063E6"/>
    <w:rsid w:val="001069B5"/>
    <w:rsid w:val="001120E5"/>
    <w:rsid w:val="00113B14"/>
    <w:rsid w:val="00114B30"/>
    <w:rsid w:val="001150D4"/>
    <w:rsid w:val="00115756"/>
    <w:rsid w:val="001178DC"/>
    <w:rsid w:val="001216E1"/>
    <w:rsid w:val="00121E31"/>
    <w:rsid w:val="001226F1"/>
    <w:rsid w:val="00123FE3"/>
    <w:rsid w:val="0012434E"/>
    <w:rsid w:val="0012464B"/>
    <w:rsid w:val="00125B2A"/>
    <w:rsid w:val="0012760C"/>
    <w:rsid w:val="00127CD0"/>
    <w:rsid w:val="00130B0E"/>
    <w:rsid w:val="0013226F"/>
    <w:rsid w:val="001333A4"/>
    <w:rsid w:val="001338D1"/>
    <w:rsid w:val="00133BD0"/>
    <w:rsid w:val="001353BD"/>
    <w:rsid w:val="00145299"/>
    <w:rsid w:val="0014539C"/>
    <w:rsid w:val="001511D8"/>
    <w:rsid w:val="001517C8"/>
    <w:rsid w:val="00151BC4"/>
    <w:rsid w:val="00151EA9"/>
    <w:rsid w:val="001522AA"/>
    <w:rsid w:val="001533F6"/>
    <w:rsid w:val="00155174"/>
    <w:rsid w:val="001567C3"/>
    <w:rsid w:val="00157040"/>
    <w:rsid w:val="0016442A"/>
    <w:rsid w:val="0016452C"/>
    <w:rsid w:val="00164C03"/>
    <w:rsid w:val="0016599A"/>
    <w:rsid w:val="00176B16"/>
    <w:rsid w:val="00180143"/>
    <w:rsid w:val="0018042E"/>
    <w:rsid w:val="00180E5B"/>
    <w:rsid w:val="00184103"/>
    <w:rsid w:val="00185969"/>
    <w:rsid w:val="00186A92"/>
    <w:rsid w:val="0018757D"/>
    <w:rsid w:val="00191643"/>
    <w:rsid w:val="0019370E"/>
    <w:rsid w:val="00193B3A"/>
    <w:rsid w:val="00193C72"/>
    <w:rsid w:val="001959E8"/>
    <w:rsid w:val="001A3219"/>
    <w:rsid w:val="001A5418"/>
    <w:rsid w:val="001A705C"/>
    <w:rsid w:val="001A771C"/>
    <w:rsid w:val="001B01E6"/>
    <w:rsid w:val="001B0ECA"/>
    <w:rsid w:val="001C0B4F"/>
    <w:rsid w:val="001C156C"/>
    <w:rsid w:val="001C5CD5"/>
    <w:rsid w:val="001C7807"/>
    <w:rsid w:val="001D2077"/>
    <w:rsid w:val="001D222B"/>
    <w:rsid w:val="001D24F3"/>
    <w:rsid w:val="001D315D"/>
    <w:rsid w:val="001D362E"/>
    <w:rsid w:val="001D36EB"/>
    <w:rsid w:val="001D4AA9"/>
    <w:rsid w:val="001D6E46"/>
    <w:rsid w:val="001E0DED"/>
    <w:rsid w:val="001E2050"/>
    <w:rsid w:val="001E249E"/>
    <w:rsid w:val="001E4BD1"/>
    <w:rsid w:val="001E6BDF"/>
    <w:rsid w:val="001F160E"/>
    <w:rsid w:val="001F5FF8"/>
    <w:rsid w:val="00200719"/>
    <w:rsid w:val="002020AE"/>
    <w:rsid w:val="002034E0"/>
    <w:rsid w:val="00203FAC"/>
    <w:rsid w:val="002050E1"/>
    <w:rsid w:val="00212395"/>
    <w:rsid w:val="00212B64"/>
    <w:rsid w:val="002175E0"/>
    <w:rsid w:val="00221155"/>
    <w:rsid w:val="00224CBF"/>
    <w:rsid w:val="00227464"/>
    <w:rsid w:val="00232052"/>
    <w:rsid w:val="002344E5"/>
    <w:rsid w:val="00234736"/>
    <w:rsid w:val="00235AB4"/>
    <w:rsid w:val="00236474"/>
    <w:rsid w:val="00241ED6"/>
    <w:rsid w:val="00243F75"/>
    <w:rsid w:val="00243FE6"/>
    <w:rsid w:val="00245892"/>
    <w:rsid w:val="002506CD"/>
    <w:rsid w:val="00250FA6"/>
    <w:rsid w:val="00252D98"/>
    <w:rsid w:val="002533B8"/>
    <w:rsid w:val="00253B86"/>
    <w:rsid w:val="00253D67"/>
    <w:rsid w:val="00254CE6"/>
    <w:rsid w:val="00256D1D"/>
    <w:rsid w:val="0025704F"/>
    <w:rsid w:val="00257419"/>
    <w:rsid w:val="0026153F"/>
    <w:rsid w:val="0026270A"/>
    <w:rsid w:val="00265996"/>
    <w:rsid w:val="00271338"/>
    <w:rsid w:val="002718D8"/>
    <w:rsid w:val="00272B0C"/>
    <w:rsid w:val="0027336E"/>
    <w:rsid w:val="0027736B"/>
    <w:rsid w:val="00280EB2"/>
    <w:rsid w:val="002811FE"/>
    <w:rsid w:val="00281748"/>
    <w:rsid w:val="002825F1"/>
    <w:rsid w:val="00282CD9"/>
    <w:rsid w:val="002836E6"/>
    <w:rsid w:val="002850A8"/>
    <w:rsid w:val="00287A11"/>
    <w:rsid w:val="00290EEC"/>
    <w:rsid w:val="00291767"/>
    <w:rsid w:val="00291C33"/>
    <w:rsid w:val="00292FF0"/>
    <w:rsid w:val="00293848"/>
    <w:rsid w:val="00294623"/>
    <w:rsid w:val="002A1873"/>
    <w:rsid w:val="002A21B5"/>
    <w:rsid w:val="002B0B3C"/>
    <w:rsid w:val="002B1BB6"/>
    <w:rsid w:val="002B2467"/>
    <w:rsid w:val="002B60EB"/>
    <w:rsid w:val="002B60FA"/>
    <w:rsid w:val="002B64C3"/>
    <w:rsid w:val="002B7F41"/>
    <w:rsid w:val="002C0637"/>
    <w:rsid w:val="002C2A71"/>
    <w:rsid w:val="002C2FF4"/>
    <w:rsid w:val="002C321A"/>
    <w:rsid w:val="002C4DB9"/>
    <w:rsid w:val="002C4F95"/>
    <w:rsid w:val="002C70DE"/>
    <w:rsid w:val="002D2942"/>
    <w:rsid w:val="002D4ED7"/>
    <w:rsid w:val="002D7C9E"/>
    <w:rsid w:val="002E1537"/>
    <w:rsid w:val="002E45E4"/>
    <w:rsid w:val="002E4FC5"/>
    <w:rsid w:val="002E52AF"/>
    <w:rsid w:val="002E76EC"/>
    <w:rsid w:val="002E7A18"/>
    <w:rsid w:val="002F0BCE"/>
    <w:rsid w:val="002F138B"/>
    <w:rsid w:val="002F2F81"/>
    <w:rsid w:val="002F6971"/>
    <w:rsid w:val="003017F4"/>
    <w:rsid w:val="003047F5"/>
    <w:rsid w:val="00306E69"/>
    <w:rsid w:val="00314315"/>
    <w:rsid w:val="00316732"/>
    <w:rsid w:val="00321543"/>
    <w:rsid w:val="00323437"/>
    <w:rsid w:val="00324555"/>
    <w:rsid w:val="00335088"/>
    <w:rsid w:val="00342FB2"/>
    <w:rsid w:val="00344514"/>
    <w:rsid w:val="00345E30"/>
    <w:rsid w:val="00346058"/>
    <w:rsid w:val="0034634D"/>
    <w:rsid w:val="00350F5E"/>
    <w:rsid w:val="00351A33"/>
    <w:rsid w:val="00352898"/>
    <w:rsid w:val="0035504E"/>
    <w:rsid w:val="00355CDF"/>
    <w:rsid w:val="00356E74"/>
    <w:rsid w:val="00356F88"/>
    <w:rsid w:val="00360453"/>
    <w:rsid w:val="00360461"/>
    <w:rsid w:val="00363759"/>
    <w:rsid w:val="00370117"/>
    <w:rsid w:val="00370AB7"/>
    <w:rsid w:val="003710E8"/>
    <w:rsid w:val="00373E29"/>
    <w:rsid w:val="00375CC5"/>
    <w:rsid w:val="00377481"/>
    <w:rsid w:val="00380E86"/>
    <w:rsid w:val="003812E8"/>
    <w:rsid w:val="00381A6F"/>
    <w:rsid w:val="00381E2A"/>
    <w:rsid w:val="00383845"/>
    <w:rsid w:val="00394E69"/>
    <w:rsid w:val="00394FCF"/>
    <w:rsid w:val="003A25D0"/>
    <w:rsid w:val="003A4EED"/>
    <w:rsid w:val="003A5A5F"/>
    <w:rsid w:val="003A60F6"/>
    <w:rsid w:val="003B1FC5"/>
    <w:rsid w:val="003B262E"/>
    <w:rsid w:val="003B2731"/>
    <w:rsid w:val="003B4A96"/>
    <w:rsid w:val="003B566A"/>
    <w:rsid w:val="003B7E8D"/>
    <w:rsid w:val="003C0278"/>
    <w:rsid w:val="003C1285"/>
    <w:rsid w:val="003C1A4D"/>
    <w:rsid w:val="003C2435"/>
    <w:rsid w:val="003C67BD"/>
    <w:rsid w:val="003C6CC1"/>
    <w:rsid w:val="003D20BC"/>
    <w:rsid w:val="003D2F63"/>
    <w:rsid w:val="003D42E1"/>
    <w:rsid w:val="003D46C0"/>
    <w:rsid w:val="003D5943"/>
    <w:rsid w:val="003D7102"/>
    <w:rsid w:val="003E099D"/>
    <w:rsid w:val="003E3D26"/>
    <w:rsid w:val="003E3FCC"/>
    <w:rsid w:val="003F70B3"/>
    <w:rsid w:val="003F79D4"/>
    <w:rsid w:val="0040030D"/>
    <w:rsid w:val="00400FED"/>
    <w:rsid w:val="00401A30"/>
    <w:rsid w:val="004022EE"/>
    <w:rsid w:val="004028B5"/>
    <w:rsid w:val="00402BF2"/>
    <w:rsid w:val="00403898"/>
    <w:rsid w:val="00406614"/>
    <w:rsid w:val="00412CE1"/>
    <w:rsid w:val="004176B0"/>
    <w:rsid w:val="0041795F"/>
    <w:rsid w:val="004204F4"/>
    <w:rsid w:val="00426F3B"/>
    <w:rsid w:val="004300E8"/>
    <w:rsid w:val="00430B18"/>
    <w:rsid w:val="0043259F"/>
    <w:rsid w:val="00432D34"/>
    <w:rsid w:val="0043358D"/>
    <w:rsid w:val="00433FFD"/>
    <w:rsid w:val="00435338"/>
    <w:rsid w:val="00436F76"/>
    <w:rsid w:val="0044047E"/>
    <w:rsid w:val="004417C6"/>
    <w:rsid w:val="00442F70"/>
    <w:rsid w:val="0044636A"/>
    <w:rsid w:val="00452357"/>
    <w:rsid w:val="00456CF2"/>
    <w:rsid w:val="00461AAF"/>
    <w:rsid w:val="00462312"/>
    <w:rsid w:val="004626FC"/>
    <w:rsid w:val="00463228"/>
    <w:rsid w:val="00464625"/>
    <w:rsid w:val="004649A4"/>
    <w:rsid w:val="00464C7E"/>
    <w:rsid w:val="004653F8"/>
    <w:rsid w:val="00470366"/>
    <w:rsid w:val="004722BA"/>
    <w:rsid w:val="00474118"/>
    <w:rsid w:val="00474719"/>
    <w:rsid w:val="00474B80"/>
    <w:rsid w:val="00476075"/>
    <w:rsid w:val="00481430"/>
    <w:rsid w:val="00481700"/>
    <w:rsid w:val="0048235F"/>
    <w:rsid w:val="0048274B"/>
    <w:rsid w:val="00483183"/>
    <w:rsid w:val="004844C2"/>
    <w:rsid w:val="004849C8"/>
    <w:rsid w:val="004850F9"/>
    <w:rsid w:val="00486E3A"/>
    <w:rsid w:val="004873F8"/>
    <w:rsid w:val="004904CA"/>
    <w:rsid w:val="004933F3"/>
    <w:rsid w:val="00493A65"/>
    <w:rsid w:val="0049503B"/>
    <w:rsid w:val="0049627F"/>
    <w:rsid w:val="004A135F"/>
    <w:rsid w:val="004A5FDA"/>
    <w:rsid w:val="004B2442"/>
    <w:rsid w:val="004B4F5D"/>
    <w:rsid w:val="004B51B6"/>
    <w:rsid w:val="004B6BCE"/>
    <w:rsid w:val="004C052A"/>
    <w:rsid w:val="004C087A"/>
    <w:rsid w:val="004C143F"/>
    <w:rsid w:val="004C526A"/>
    <w:rsid w:val="004C7422"/>
    <w:rsid w:val="004C753B"/>
    <w:rsid w:val="004D17B7"/>
    <w:rsid w:val="004D4201"/>
    <w:rsid w:val="004D4C4F"/>
    <w:rsid w:val="004D7137"/>
    <w:rsid w:val="004E3651"/>
    <w:rsid w:val="004E38BF"/>
    <w:rsid w:val="004E4655"/>
    <w:rsid w:val="004E4E41"/>
    <w:rsid w:val="004E5D60"/>
    <w:rsid w:val="004E6877"/>
    <w:rsid w:val="004F1FF9"/>
    <w:rsid w:val="004F4993"/>
    <w:rsid w:val="00500DE5"/>
    <w:rsid w:val="005013E0"/>
    <w:rsid w:val="00502F3F"/>
    <w:rsid w:val="00503D9D"/>
    <w:rsid w:val="00504772"/>
    <w:rsid w:val="0050620F"/>
    <w:rsid w:val="00507221"/>
    <w:rsid w:val="0051023D"/>
    <w:rsid w:val="00510487"/>
    <w:rsid w:val="00511003"/>
    <w:rsid w:val="00511557"/>
    <w:rsid w:val="005141BD"/>
    <w:rsid w:val="00515941"/>
    <w:rsid w:val="0051790B"/>
    <w:rsid w:val="00517C4A"/>
    <w:rsid w:val="00522692"/>
    <w:rsid w:val="00523E44"/>
    <w:rsid w:val="00525DCF"/>
    <w:rsid w:val="00526528"/>
    <w:rsid w:val="00526D98"/>
    <w:rsid w:val="005318AF"/>
    <w:rsid w:val="005339FA"/>
    <w:rsid w:val="00541DE2"/>
    <w:rsid w:val="00541E77"/>
    <w:rsid w:val="00544BA6"/>
    <w:rsid w:val="00546384"/>
    <w:rsid w:val="00547DC6"/>
    <w:rsid w:val="00550A8A"/>
    <w:rsid w:val="00552587"/>
    <w:rsid w:val="00555C8C"/>
    <w:rsid w:val="00555DDD"/>
    <w:rsid w:val="00556B2F"/>
    <w:rsid w:val="005600ED"/>
    <w:rsid w:val="00560BAD"/>
    <w:rsid w:val="00566B4B"/>
    <w:rsid w:val="005707E8"/>
    <w:rsid w:val="0057310D"/>
    <w:rsid w:val="005745BE"/>
    <w:rsid w:val="00575056"/>
    <w:rsid w:val="005757F8"/>
    <w:rsid w:val="00580B4F"/>
    <w:rsid w:val="0058182A"/>
    <w:rsid w:val="00581CCB"/>
    <w:rsid w:val="00583067"/>
    <w:rsid w:val="00583DD8"/>
    <w:rsid w:val="005863B2"/>
    <w:rsid w:val="005879F6"/>
    <w:rsid w:val="00592C8A"/>
    <w:rsid w:val="00592EDE"/>
    <w:rsid w:val="00593D67"/>
    <w:rsid w:val="00594593"/>
    <w:rsid w:val="00594D96"/>
    <w:rsid w:val="00596B83"/>
    <w:rsid w:val="005A04CC"/>
    <w:rsid w:val="005A3992"/>
    <w:rsid w:val="005A3FBE"/>
    <w:rsid w:val="005A5015"/>
    <w:rsid w:val="005A6705"/>
    <w:rsid w:val="005A6AB1"/>
    <w:rsid w:val="005B6416"/>
    <w:rsid w:val="005C2AD4"/>
    <w:rsid w:val="005C2B00"/>
    <w:rsid w:val="005C5D2F"/>
    <w:rsid w:val="005C63AE"/>
    <w:rsid w:val="005D1714"/>
    <w:rsid w:val="005D267A"/>
    <w:rsid w:val="005D4D4E"/>
    <w:rsid w:val="005D6CAB"/>
    <w:rsid w:val="005D7DEC"/>
    <w:rsid w:val="005E1A46"/>
    <w:rsid w:val="005E2A97"/>
    <w:rsid w:val="005E2F8F"/>
    <w:rsid w:val="005E3AE3"/>
    <w:rsid w:val="005E4E1D"/>
    <w:rsid w:val="005F0648"/>
    <w:rsid w:val="005F2FBF"/>
    <w:rsid w:val="005F444B"/>
    <w:rsid w:val="005F4F9F"/>
    <w:rsid w:val="005F6761"/>
    <w:rsid w:val="006000F7"/>
    <w:rsid w:val="00603C7D"/>
    <w:rsid w:val="00604929"/>
    <w:rsid w:val="006060FA"/>
    <w:rsid w:val="006119C2"/>
    <w:rsid w:val="00611D1D"/>
    <w:rsid w:val="00612185"/>
    <w:rsid w:val="00613725"/>
    <w:rsid w:val="00613CDB"/>
    <w:rsid w:val="00617227"/>
    <w:rsid w:val="00617BEE"/>
    <w:rsid w:val="00621703"/>
    <w:rsid w:val="00623044"/>
    <w:rsid w:val="0062319B"/>
    <w:rsid w:val="00625276"/>
    <w:rsid w:val="00627B7E"/>
    <w:rsid w:val="006300F6"/>
    <w:rsid w:val="006317E4"/>
    <w:rsid w:val="00633886"/>
    <w:rsid w:val="00634F88"/>
    <w:rsid w:val="0064246F"/>
    <w:rsid w:val="00643DB1"/>
    <w:rsid w:val="006454CB"/>
    <w:rsid w:val="006455D6"/>
    <w:rsid w:val="006465BE"/>
    <w:rsid w:val="00653126"/>
    <w:rsid w:val="006560EB"/>
    <w:rsid w:val="00660CB1"/>
    <w:rsid w:val="00663DB2"/>
    <w:rsid w:val="006644B1"/>
    <w:rsid w:val="006702E2"/>
    <w:rsid w:val="00670537"/>
    <w:rsid w:val="006713C4"/>
    <w:rsid w:val="00671888"/>
    <w:rsid w:val="00673970"/>
    <w:rsid w:val="00680488"/>
    <w:rsid w:val="006807CF"/>
    <w:rsid w:val="006841EF"/>
    <w:rsid w:val="00684B75"/>
    <w:rsid w:val="00685446"/>
    <w:rsid w:val="006870A3"/>
    <w:rsid w:val="0069046B"/>
    <w:rsid w:val="00691A37"/>
    <w:rsid w:val="00693B09"/>
    <w:rsid w:val="0069564B"/>
    <w:rsid w:val="0069646B"/>
    <w:rsid w:val="00696902"/>
    <w:rsid w:val="00696A69"/>
    <w:rsid w:val="00696C07"/>
    <w:rsid w:val="006A3242"/>
    <w:rsid w:val="006A38A7"/>
    <w:rsid w:val="006A5811"/>
    <w:rsid w:val="006B60C7"/>
    <w:rsid w:val="006B6FF3"/>
    <w:rsid w:val="006B707B"/>
    <w:rsid w:val="006B7304"/>
    <w:rsid w:val="006B7C3A"/>
    <w:rsid w:val="006C0DD4"/>
    <w:rsid w:val="006C0FA9"/>
    <w:rsid w:val="006C2B1D"/>
    <w:rsid w:val="006C2D4C"/>
    <w:rsid w:val="006C38BF"/>
    <w:rsid w:val="006C4CCA"/>
    <w:rsid w:val="006D15BC"/>
    <w:rsid w:val="006D188B"/>
    <w:rsid w:val="006D44CF"/>
    <w:rsid w:val="006D69EF"/>
    <w:rsid w:val="006E1377"/>
    <w:rsid w:val="006E1B72"/>
    <w:rsid w:val="006E30CA"/>
    <w:rsid w:val="006E659E"/>
    <w:rsid w:val="006F2B4C"/>
    <w:rsid w:val="006F652F"/>
    <w:rsid w:val="00700125"/>
    <w:rsid w:val="007010F5"/>
    <w:rsid w:val="00701B7D"/>
    <w:rsid w:val="00704541"/>
    <w:rsid w:val="00705107"/>
    <w:rsid w:val="00707BAA"/>
    <w:rsid w:val="0071170A"/>
    <w:rsid w:val="00713AA5"/>
    <w:rsid w:val="00714E30"/>
    <w:rsid w:val="00716D5C"/>
    <w:rsid w:val="0071742B"/>
    <w:rsid w:val="007215CA"/>
    <w:rsid w:val="0072343F"/>
    <w:rsid w:val="00724E12"/>
    <w:rsid w:val="00725AB0"/>
    <w:rsid w:val="00726181"/>
    <w:rsid w:val="00727F8D"/>
    <w:rsid w:val="00734CEF"/>
    <w:rsid w:val="007354B5"/>
    <w:rsid w:val="0073692C"/>
    <w:rsid w:val="00740CE6"/>
    <w:rsid w:val="00740D57"/>
    <w:rsid w:val="00742AC5"/>
    <w:rsid w:val="00743131"/>
    <w:rsid w:val="0074339D"/>
    <w:rsid w:val="00744B41"/>
    <w:rsid w:val="007454C2"/>
    <w:rsid w:val="007455F6"/>
    <w:rsid w:val="00747FBD"/>
    <w:rsid w:val="00750264"/>
    <w:rsid w:val="0075060C"/>
    <w:rsid w:val="00751337"/>
    <w:rsid w:val="00751685"/>
    <w:rsid w:val="00751B31"/>
    <w:rsid w:val="00752B27"/>
    <w:rsid w:val="007539C4"/>
    <w:rsid w:val="00755648"/>
    <w:rsid w:val="007564ED"/>
    <w:rsid w:val="0075650A"/>
    <w:rsid w:val="0076388D"/>
    <w:rsid w:val="00770A25"/>
    <w:rsid w:val="00770AF5"/>
    <w:rsid w:val="0077178F"/>
    <w:rsid w:val="00771B91"/>
    <w:rsid w:val="0077420B"/>
    <w:rsid w:val="00774B41"/>
    <w:rsid w:val="00774FFC"/>
    <w:rsid w:val="00776261"/>
    <w:rsid w:val="0077631B"/>
    <w:rsid w:val="00781E71"/>
    <w:rsid w:val="00782CD9"/>
    <w:rsid w:val="007845B9"/>
    <w:rsid w:val="00793CE4"/>
    <w:rsid w:val="00794941"/>
    <w:rsid w:val="007952B1"/>
    <w:rsid w:val="007A71F9"/>
    <w:rsid w:val="007A750B"/>
    <w:rsid w:val="007A773C"/>
    <w:rsid w:val="007A7D76"/>
    <w:rsid w:val="007B0709"/>
    <w:rsid w:val="007B13C4"/>
    <w:rsid w:val="007B1DAF"/>
    <w:rsid w:val="007B613C"/>
    <w:rsid w:val="007C0115"/>
    <w:rsid w:val="007C16D2"/>
    <w:rsid w:val="007C73F7"/>
    <w:rsid w:val="007D0E52"/>
    <w:rsid w:val="007D1040"/>
    <w:rsid w:val="007D2FB5"/>
    <w:rsid w:val="007D30AA"/>
    <w:rsid w:val="007D4914"/>
    <w:rsid w:val="007D59DF"/>
    <w:rsid w:val="007E0BB2"/>
    <w:rsid w:val="007E3ED7"/>
    <w:rsid w:val="007E5405"/>
    <w:rsid w:val="007E6DBE"/>
    <w:rsid w:val="007F17F8"/>
    <w:rsid w:val="007F32EE"/>
    <w:rsid w:val="00800323"/>
    <w:rsid w:val="00803103"/>
    <w:rsid w:val="0081237D"/>
    <w:rsid w:val="0082633E"/>
    <w:rsid w:val="0083216C"/>
    <w:rsid w:val="00834153"/>
    <w:rsid w:val="00835CBF"/>
    <w:rsid w:val="0084628C"/>
    <w:rsid w:val="00846C9D"/>
    <w:rsid w:val="00846CD7"/>
    <w:rsid w:val="008531AA"/>
    <w:rsid w:val="00853AA2"/>
    <w:rsid w:val="00860873"/>
    <w:rsid w:val="00864213"/>
    <w:rsid w:val="00867582"/>
    <w:rsid w:val="0087300A"/>
    <w:rsid w:val="0087374C"/>
    <w:rsid w:val="0087420B"/>
    <w:rsid w:val="008747FC"/>
    <w:rsid w:val="00874A5B"/>
    <w:rsid w:val="008769D7"/>
    <w:rsid w:val="008771B0"/>
    <w:rsid w:val="008823AD"/>
    <w:rsid w:val="00882677"/>
    <w:rsid w:val="00886BFD"/>
    <w:rsid w:val="008902C0"/>
    <w:rsid w:val="0089353A"/>
    <w:rsid w:val="00893DCD"/>
    <w:rsid w:val="0089428A"/>
    <w:rsid w:val="008954D2"/>
    <w:rsid w:val="00897732"/>
    <w:rsid w:val="008A3D04"/>
    <w:rsid w:val="008A5D6D"/>
    <w:rsid w:val="008A6A36"/>
    <w:rsid w:val="008B4235"/>
    <w:rsid w:val="008B638A"/>
    <w:rsid w:val="008B7EF6"/>
    <w:rsid w:val="008C00CF"/>
    <w:rsid w:val="008C0B2D"/>
    <w:rsid w:val="008C2D26"/>
    <w:rsid w:val="008C3121"/>
    <w:rsid w:val="008C340B"/>
    <w:rsid w:val="008C3527"/>
    <w:rsid w:val="008C4C39"/>
    <w:rsid w:val="008C6431"/>
    <w:rsid w:val="008C6D28"/>
    <w:rsid w:val="008C73C7"/>
    <w:rsid w:val="008D3166"/>
    <w:rsid w:val="008D445A"/>
    <w:rsid w:val="008D59F5"/>
    <w:rsid w:val="008E5DF3"/>
    <w:rsid w:val="008E73BA"/>
    <w:rsid w:val="008F2309"/>
    <w:rsid w:val="00900B83"/>
    <w:rsid w:val="00901842"/>
    <w:rsid w:val="009043B2"/>
    <w:rsid w:val="00912411"/>
    <w:rsid w:val="00912C85"/>
    <w:rsid w:val="009137F2"/>
    <w:rsid w:val="009138BB"/>
    <w:rsid w:val="00913C6C"/>
    <w:rsid w:val="00915B16"/>
    <w:rsid w:val="00916893"/>
    <w:rsid w:val="009176B4"/>
    <w:rsid w:val="00917BA8"/>
    <w:rsid w:val="009269A3"/>
    <w:rsid w:val="009273BE"/>
    <w:rsid w:val="00931FB4"/>
    <w:rsid w:val="0093495D"/>
    <w:rsid w:val="00935B4D"/>
    <w:rsid w:val="00940400"/>
    <w:rsid w:val="00941C22"/>
    <w:rsid w:val="009421CF"/>
    <w:rsid w:val="009434FC"/>
    <w:rsid w:val="00944D31"/>
    <w:rsid w:val="009456F1"/>
    <w:rsid w:val="00946887"/>
    <w:rsid w:val="00951E4D"/>
    <w:rsid w:val="009528DC"/>
    <w:rsid w:val="00957343"/>
    <w:rsid w:val="0095774A"/>
    <w:rsid w:val="009602B5"/>
    <w:rsid w:val="009607E7"/>
    <w:rsid w:val="00960838"/>
    <w:rsid w:val="00961886"/>
    <w:rsid w:val="00962837"/>
    <w:rsid w:val="009706E0"/>
    <w:rsid w:val="00973F17"/>
    <w:rsid w:val="009767A7"/>
    <w:rsid w:val="00977E79"/>
    <w:rsid w:val="0098032B"/>
    <w:rsid w:val="00982BBD"/>
    <w:rsid w:val="009845EB"/>
    <w:rsid w:val="00984BA0"/>
    <w:rsid w:val="009850CE"/>
    <w:rsid w:val="00985ABE"/>
    <w:rsid w:val="00990236"/>
    <w:rsid w:val="009933A5"/>
    <w:rsid w:val="009935AC"/>
    <w:rsid w:val="00997231"/>
    <w:rsid w:val="00997907"/>
    <w:rsid w:val="009A2B72"/>
    <w:rsid w:val="009B0B9A"/>
    <w:rsid w:val="009B1F67"/>
    <w:rsid w:val="009B31D2"/>
    <w:rsid w:val="009B38FE"/>
    <w:rsid w:val="009B39D9"/>
    <w:rsid w:val="009B442D"/>
    <w:rsid w:val="009B55EE"/>
    <w:rsid w:val="009B6411"/>
    <w:rsid w:val="009B6468"/>
    <w:rsid w:val="009B7602"/>
    <w:rsid w:val="009C0415"/>
    <w:rsid w:val="009C201C"/>
    <w:rsid w:val="009C33DB"/>
    <w:rsid w:val="009C6148"/>
    <w:rsid w:val="009D06AC"/>
    <w:rsid w:val="009D1646"/>
    <w:rsid w:val="009D27E0"/>
    <w:rsid w:val="009D31A8"/>
    <w:rsid w:val="009D47D6"/>
    <w:rsid w:val="009D5D4F"/>
    <w:rsid w:val="009D736F"/>
    <w:rsid w:val="009D73D7"/>
    <w:rsid w:val="009D79DA"/>
    <w:rsid w:val="009E3EA1"/>
    <w:rsid w:val="009E4916"/>
    <w:rsid w:val="009E60A3"/>
    <w:rsid w:val="009F343D"/>
    <w:rsid w:val="009F413F"/>
    <w:rsid w:val="009F4D82"/>
    <w:rsid w:val="009F5D5B"/>
    <w:rsid w:val="009F6C52"/>
    <w:rsid w:val="009F6EB3"/>
    <w:rsid w:val="00A02821"/>
    <w:rsid w:val="00A04E07"/>
    <w:rsid w:val="00A07452"/>
    <w:rsid w:val="00A11ED2"/>
    <w:rsid w:val="00A22973"/>
    <w:rsid w:val="00A22ABD"/>
    <w:rsid w:val="00A23025"/>
    <w:rsid w:val="00A23B23"/>
    <w:rsid w:val="00A242B5"/>
    <w:rsid w:val="00A24BDB"/>
    <w:rsid w:val="00A25145"/>
    <w:rsid w:val="00A25E8C"/>
    <w:rsid w:val="00A2634F"/>
    <w:rsid w:val="00A30BC6"/>
    <w:rsid w:val="00A32F4E"/>
    <w:rsid w:val="00A34C37"/>
    <w:rsid w:val="00A426A7"/>
    <w:rsid w:val="00A437F9"/>
    <w:rsid w:val="00A44632"/>
    <w:rsid w:val="00A44A16"/>
    <w:rsid w:val="00A44C52"/>
    <w:rsid w:val="00A44D3F"/>
    <w:rsid w:val="00A46CCF"/>
    <w:rsid w:val="00A515C1"/>
    <w:rsid w:val="00A568E1"/>
    <w:rsid w:val="00A611C5"/>
    <w:rsid w:val="00A611F4"/>
    <w:rsid w:val="00A621FE"/>
    <w:rsid w:val="00A65828"/>
    <w:rsid w:val="00A67B2B"/>
    <w:rsid w:val="00A718D1"/>
    <w:rsid w:val="00A72733"/>
    <w:rsid w:val="00A72BFC"/>
    <w:rsid w:val="00A74E6C"/>
    <w:rsid w:val="00A750A5"/>
    <w:rsid w:val="00A759BF"/>
    <w:rsid w:val="00A76356"/>
    <w:rsid w:val="00A80300"/>
    <w:rsid w:val="00A80A1D"/>
    <w:rsid w:val="00A856D3"/>
    <w:rsid w:val="00A85FF7"/>
    <w:rsid w:val="00A87081"/>
    <w:rsid w:val="00A87280"/>
    <w:rsid w:val="00A96528"/>
    <w:rsid w:val="00A97066"/>
    <w:rsid w:val="00AA08DB"/>
    <w:rsid w:val="00AA17BD"/>
    <w:rsid w:val="00AA228C"/>
    <w:rsid w:val="00AA6CEC"/>
    <w:rsid w:val="00AA6E11"/>
    <w:rsid w:val="00AA7464"/>
    <w:rsid w:val="00AA7C35"/>
    <w:rsid w:val="00AB0FDC"/>
    <w:rsid w:val="00AB167D"/>
    <w:rsid w:val="00AB40FD"/>
    <w:rsid w:val="00AB665E"/>
    <w:rsid w:val="00AC46DD"/>
    <w:rsid w:val="00AC7911"/>
    <w:rsid w:val="00AD2554"/>
    <w:rsid w:val="00AD27C6"/>
    <w:rsid w:val="00AD74F5"/>
    <w:rsid w:val="00AE0441"/>
    <w:rsid w:val="00AE3642"/>
    <w:rsid w:val="00AE38CA"/>
    <w:rsid w:val="00AE6BED"/>
    <w:rsid w:val="00AE70AB"/>
    <w:rsid w:val="00AF1D0B"/>
    <w:rsid w:val="00AF4D47"/>
    <w:rsid w:val="00AF5DB6"/>
    <w:rsid w:val="00AF6166"/>
    <w:rsid w:val="00AF6DC9"/>
    <w:rsid w:val="00AF7C32"/>
    <w:rsid w:val="00B01CB2"/>
    <w:rsid w:val="00B02E85"/>
    <w:rsid w:val="00B03438"/>
    <w:rsid w:val="00B108A3"/>
    <w:rsid w:val="00B1193F"/>
    <w:rsid w:val="00B12566"/>
    <w:rsid w:val="00B139A7"/>
    <w:rsid w:val="00B148E8"/>
    <w:rsid w:val="00B14FE6"/>
    <w:rsid w:val="00B1557A"/>
    <w:rsid w:val="00B15A59"/>
    <w:rsid w:val="00B20840"/>
    <w:rsid w:val="00B21FBB"/>
    <w:rsid w:val="00B26AD0"/>
    <w:rsid w:val="00B3185B"/>
    <w:rsid w:val="00B31DE1"/>
    <w:rsid w:val="00B331F4"/>
    <w:rsid w:val="00B336AA"/>
    <w:rsid w:val="00B33B99"/>
    <w:rsid w:val="00B35660"/>
    <w:rsid w:val="00B35D9C"/>
    <w:rsid w:val="00B37395"/>
    <w:rsid w:val="00B429C6"/>
    <w:rsid w:val="00B42C9F"/>
    <w:rsid w:val="00B4364C"/>
    <w:rsid w:val="00B439F2"/>
    <w:rsid w:val="00B53065"/>
    <w:rsid w:val="00B55CA0"/>
    <w:rsid w:val="00B604CC"/>
    <w:rsid w:val="00B61CF7"/>
    <w:rsid w:val="00B6277A"/>
    <w:rsid w:val="00B629B7"/>
    <w:rsid w:val="00B63225"/>
    <w:rsid w:val="00B67341"/>
    <w:rsid w:val="00B7102A"/>
    <w:rsid w:val="00B71C2A"/>
    <w:rsid w:val="00B71C8E"/>
    <w:rsid w:val="00B7265F"/>
    <w:rsid w:val="00B77FF5"/>
    <w:rsid w:val="00B807BE"/>
    <w:rsid w:val="00B81BE7"/>
    <w:rsid w:val="00B83762"/>
    <w:rsid w:val="00B8789C"/>
    <w:rsid w:val="00B87B2E"/>
    <w:rsid w:val="00B938EF"/>
    <w:rsid w:val="00B94153"/>
    <w:rsid w:val="00B9589B"/>
    <w:rsid w:val="00B96E70"/>
    <w:rsid w:val="00B97188"/>
    <w:rsid w:val="00BA264E"/>
    <w:rsid w:val="00BA2E49"/>
    <w:rsid w:val="00BA3308"/>
    <w:rsid w:val="00BA435C"/>
    <w:rsid w:val="00BA785C"/>
    <w:rsid w:val="00BB0F0F"/>
    <w:rsid w:val="00BB4AA3"/>
    <w:rsid w:val="00BB5BF2"/>
    <w:rsid w:val="00BB784E"/>
    <w:rsid w:val="00BC0DDB"/>
    <w:rsid w:val="00BC16E5"/>
    <w:rsid w:val="00BC241E"/>
    <w:rsid w:val="00BC2B8B"/>
    <w:rsid w:val="00BC31A9"/>
    <w:rsid w:val="00BD0A71"/>
    <w:rsid w:val="00BD0D82"/>
    <w:rsid w:val="00BD13C9"/>
    <w:rsid w:val="00BD15FC"/>
    <w:rsid w:val="00BD1E19"/>
    <w:rsid w:val="00BD1F99"/>
    <w:rsid w:val="00BD50EA"/>
    <w:rsid w:val="00BD7D12"/>
    <w:rsid w:val="00BE1BE2"/>
    <w:rsid w:val="00BE2C78"/>
    <w:rsid w:val="00BE4267"/>
    <w:rsid w:val="00BE62A2"/>
    <w:rsid w:val="00BF0D09"/>
    <w:rsid w:val="00BF2952"/>
    <w:rsid w:val="00BF2C6C"/>
    <w:rsid w:val="00BF34AF"/>
    <w:rsid w:val="00BF4B27"/>
    <w:rsid w:val="00BF5366"/>
    <w:rsid w:val="00BF573B"/>
    <w:rsid w:val="00BF5D02"/>
    <w:rsid w:val="00BF77C5"/>
    <w:rsid w:val="00C01DE5"/>
    <w:rsid w:val="00C02270"/>
    <w:rsid w:val="00C02EF3"/>
    <w:rsid w:val="00C03B5D"/>
    <w:rsid w:val="00C0552D"/>
    <w:rsid w:val="00C11441"/>
    <w:rsid w:val="00C12B7B"/>
    <w:rsid w:val="00C225F2"/>
    <w:rsid w:val="00C273C7"/>
    <w:rsid w:val="00C354B8"/>
    <w:rsid w:val="00C37641"/>
    <w:rsid w:val="00C42662"/>
    <w:rsid w:val="00C430CD"/>
    <w:rsid w:val="00C460D2"/>
    <w:rsid w:val="00C4664C"/>
    <w:rsid w:val="00C514B5"/>
    <w:rsid w:val="00C53800"/>
    <w:rsid w:val="00C54EF4"/>
    <w:rsid w:val="00C55349"/>
    <w:rsid w:val="00C707E2"/>
    <w:rsid w:val="00C717E7"/>
    <w:rsid w:val="00C739FF"/>
    <w:rsid w:val="00C75A66"/>
    <w:rsid w:val="00C764C0"/>
    <w:rsid w:val="00C76D37"/>
    <w:rsid w:val="00C82766"/>
    <w:rsid w:val="00C82D7E"/>
    <w:rsid w:val="00C82D99"/>
    <w:rsid w:val="00C85998"/>
    <w:rsid w:val="00C922BC"/>
    <w:rsid w:val="00C93633"/>
    <w:rsid w:val="00C940BA"/>
    <w:rsid w:val="00C95E62"/>
    <w:rsid w:val="00C97B6C"/>
    <w:rsid w:val="00CA0C12"/>
    <w:rsid w:val="00CA0CC9"/>
    <w:rsid w:val="00CB515A"/>
    <w:rsid w:val="00CB7A8B"/>
    <w:rsid w:val="00CC2F0F"/>
    <w:rsid w:val="00CC40C6"/>
    <w:rsid w:val="00CC4235"/>
    <w:rsid w:val="00CC6031"/>
    <w:rsid w:val="00CD3EF7"/>
    <w:rsid w:val="00CD4755"/>
    <w:rsid w:val="00CD52E8"/>
    <w:rsid w:val="00CD789F"/>
    <w:rsid w:val="00CD7F97"/>
    <w:rsid w:val="00CE2E2E"/>
    <w:rsid w:val="00CE5114"/>
    <w:rsid w:val="00CF5112"/>
    <w:rsid w:val="00CF7C30"/>
    <w:rsid w:val="00D00160"/>
    <w:rsid w:val="00D00244"/>
    <w:rsid w:val="00D0366B"/>
    <w:rsid w:val="00D0445E"/>
    <w:rsid w:val="00D05016"/>
    <w:rsid w:val="00D05ED3"/>
    <w:rsid w:val="00D11E7F"/>
    <w:rsid w:val="00D13E12"/>
    <w:rsid w:val="00D1615A"/>
    <w:rsid w:val="00D1638A"/>
    <w:rsid w:val="00D20C99"/>
    <w:rsid w:val="00D213E4"/>
    <w:rsid w:val="00D21AE2"/>
    <w:rsid w:val="00D24E79"/>
    <w:rsid w:val="00D2578D"/>
    <w:rsid w:val="00D26DD7"/>
    <w:rsid w:val="00D304CE"/>
    <w:rsid w:val="00D30752"/>
    <w:rsid w:val="00D31032"/>
    <w:rsid w:val="00D318B1"/>
    <w:rsid w:val="00D339ED"/>
    <w:rsid w:val="00D3680B"/>
    <w:rsid w:val="00D43888"/>
    <w:rsid w:val="00D438E8"/>
    <w:rsid w:val="00D43CD5"/>
    <w:rsid w:val="00D45918"/>
    <w:rsid w:val="00D4707B"/>
    <w:rsid w:val="00D55D00"/>
    <w:rsid w:val="00D5644A"/>
    <w:rsid w:val="00D565CB"/>
    <w:rsid w:val="00D578F1"/>
    <w:rsid w:val="00D57F6D"/>
    <w:rsid w:val="00D62425"/>
    <w:rsid w:val="00D62A54"/>
    <w:rsid w:val="00D656BC"/>
    <w:rsid w:val="00D65E4C"/>
    <w:rsid w:val="00D7003C"/>
    <w:rsid w:val="00D71196"/>
    <w:rsid w:val="00D71EA6"/>
    <w:rsid w:val="00D72ADE"/>
    <w:rsid w:val="00D87801"/>
    <w:rsid w:val="00D87C56"/>
    <w:rsid w:val="00D87C7A"/>
    <w:rsid w:val="00D90263"/>
    <w:rsid w:val="00D91E89"/>
    <w:rsid w:val="00D92120"/>
    <w:rsid w:val="00D94034"/>
    <w:rsid w:val="00D96FBB"/>
    <w:rsid w:val="00DA1B68"/>
    <w:rsid w:val="00DA2C50"/>
    <w:rsid w:val="00DB0234"/>
    <w:rsid w:val="00DB17C4"/>
    <w:rsid w:val="00DB7601"/>
    <w:rsid w:val="00DC0179"/>
    <w:rsid w:val="00DC1F44"/>
    <w:rsid w:val="00DC2BC3"/>
    <w:rsid w:val="00DC2EFA"/>
    <w:rsid w:val="00DC4705"/>
    <w:rsid w:val="00DC6EC2"/>
    <w:rsid w:val="00DD1C68"/>
    <w:rsid w:val="00DD52A5"/>
    <w:rsid w:val="00DD5553"/>
    <w:rsid w:val="00DD585B"/>
    <w:rsid w:val="00DD63DB"/>
    <w:rsid w:val="00DD7DB2"/>
    <w:rsid w:val="00DE39AB"/>
    <w:rsid w:val="00DE475E"/>
    <w:rsid w:val="00DE47D1"/>
    <w:rsid w:val="00DE514C"/>
    <w:rsid w:val="00DE6E04"/>
    <w:rsid w:val="00DE7F34"/>
    <w:rsid w:val="00DF08D4"/>
    <w:rsid w:val="00DF2920"/>
    <w:rsid w:val="00DF5F62"/>
    <w:rsid w:val="00E0154E"/>
    <w:rsid w:val="00E01D96"/>
    <w:rsid w:val="00E020DD"/>
    <w:rsid w:val="00E03A25"/>
    <w:rsid w:val="00E12272"/>
    <w:rsid w:val="00E13C32"/>
    <w:rsid w:val="00E13D19"/>
    <w:rsid w:val="00E201B7"/>
    <w:rsid w:val="00E24332"/>
    <w:rsid w:val="00E252E5"/>
    <w:rsid w:val="00E25BDD"/>
    <w:rsid w:val="00E25D80"/>
    <w:rsid w:val="00E278C0"/>
    <w:rsid w:val="00E27B1B"/>
    <w:rsid w:val="00E308CE"/>
    <w:rsid w:val="00E31B75"/>
    <w:rsid w:val="00E32335"/>
    <w:rsid w:val="00E34FB1"/>
    <w:rsid w:val="00E37590"/>
    <w:rsid w:val="00E404B2"/>
    <w:rsid w:val="00E42C6D"/>
    <w:rsid w:val="00E437C6"/>
    <w:rsid w:val="00E468C2"/>
    <w:rsid w:val="00E52688"/>
    <w:rsid w:val="00E529D8"/>
    <w:rsid w:val="00E53D37"/>
    <w:rsid w:val="00E54311"/>
    <w:rsid w:val="00E56331"/>
    <w:rsid w:val="00E564AD"/>
    <w:rsid w:val="00E60B81"/>
    <w:rsid w:val="00E61D8B"/>
    <w:rsid w:val="00E6344B"/>
    <w:rsid w:val="00E63D63"/>
    <w:rsid w:val="00E66CE7"/>
    <w:rsid w:val="00E677BA"/>
    <w:rsid w:val="00E718D8"/>
    <w:rsid w:val="00E7331F"/>
    <w:rsid w:val="00E73F35"/>
    <w:rsid w:val="00E82785"/>
    <w:rsid w:val="00E85077"/>
    <w:rsid w:val="00E87AB5"/>
    <w:rsid w:val="00E901D4"/>
    <w:rsid w:val="00E94535"/>
    <w:rsid w:val="00E95B13"/>
    <w:rsid w:val="00EA15E3"/>
    <w:rsid w:val="00EA24FD"/>
    <w:rsid w:val="00EA3BE7"/>
    <w:rsid w:val="00EA4EE3"/>
    <w:rsid w:val="00EA7089"/>
    <w:rsid w:val="00EA78D7"/>
    <w:rsid w:val="00EA7AC0"/>
    <w:rsid w:val="00EB082E"/>
    <w:rsid w:val="00EB127D"/>
    <w:rsid w:val="00EB351A"/>
    <w:rsid w:val="00EB369B"/>
    <w:rsid w:val="00EB467F"/>
    <w:rsid w:val="00EB511E"/>
    <w:rsid w:val="00EB7277"/>
    <w:rsid w:val="00EC0669"/>
    <w:rsid w:val="00EC440B"/>
    <w:rsid w:val="00ED12D2"/>
    <w:rsid w:val="00ED2D03"/>
    <w:rsid w:val="00ED4ADE"/>
    <w:rsid w:val="00ED5ACF"/>
    <w:rsid w:val="00ED5B33"/>
    <w:rsid w:val="00ED65C8"/>
    <w:rsid w:val="00EE0A4D"/>
    <w:rsid w:val="00EE1AF2"/>
    <w:rsid w:val="00EE2050"/>
    <w:rsid w:val="00EF2549"/>
    <w:rsid w:val="00EF4A33"/>
    <w:rsid w:val="00EF6E06"/>
    <w:rsid w:val="00F01DFE"/>
    <w:rsid w:val="00F03535"/>
    <w:rsid w:val="00F03EC3"/>
    <w:rsid w:val="00F0468C"/>
    <w:rsid w:val="00F05BFE"/>
    <w:rsid w:val="00F11B7F"/>
    <w:rsid w:val="00F15AB5"/>
    <w:rsid w:val="00F1614F"/>
    <w:rsid w:val="00F16492"/>
    <w:rsid w:val="00F16C0B"/>
    <w:rsid w:val="00F16F05"/>
    <w:rsid w:val="00F170BA"/>
    <w:rsid w:val="00F17680"/>
    <w:rsid w:val="00F20C31"/>
    <w:rsid w:val="00F2113E"/>
    <w:rsid w:val="00F25091"/>
    <w:rsid w:val="00F25542"/>
    <w:rsid w:val="00F26C74"/>
    <w:rsid w:val="00F26D0B"/>
    <w:rsid w:val="00F33A55"/>
    <w:rsid w:val="00F35CBA"/>
    <w:rsid w:val="00F40126"/>
    <w:rsid w:val="00F4126E"/>
    <w:rsid w:val="00F50671"/>
    <w:rsid w:val="00F563DB"/>
    <w:rsid w:val="00F57A62"/>
    <w:rsid w:val="00F57B58"/>
    <w:rsid w:val="00F61E61"/>
    <w:rsid w:val="00F66D1B"/>
    <w:rsid w:val="00F719E4"/>
    <w:rsid w:val="00F7272D"/>
    <w:rsid w:val="00F73B18"/>
    <w:rsid w:val="00F75590"/>
    <w:rsid w:val="00F7625B"/>
    <w:rsid w:val="00F764F7"/>
    <w:rsid w:val="00F82CF5"/>
    <w:rsid w:val="00F8313F"/>
    <w:rsid w:val="00F9173A"/>
    <w:rsid w:val="00F93F58"/>
    <w:rsid w:val="00F96D9D"/>
    <w:rsid w:val="00FA36F1"/>
    <w:rsid w:val="00FA6BB0"/>
    <w:rsid w:val="00FA790F"/>
    <w:rsid w:val="00FB13C1"/>
    <w:rsid w:val="00FB24C8"/>
    <w:rsid w:val="00FB38D3"/>
    <w:rsid w:val="00FB7E85"/>
    <w:rsid w:val="00FC2060"/>
    <w:rsid w:val="00FC33CD"/>
    <w:rsid w:val="00FC37B4"/>
    <w:rsid w:val="00FC401C"/>
    <w:rsid w:val="00FC72EF"/>
    <w:rsid w:val="00FD188E"/>
    <w:rsid w:val="00FD20DE"/>
    <w:rsid w:val="00FD227E"/>
    <w:rsid w:val="00FD229F"/>
    <w:rsid w:val="00FD2394"/>
    <w:rsid w:val="00FD27DF"/>
    <w:rsid w:val="00FD3155"/>
    <w:rsid w:val="00FD5BF8"/>
    <w:rsid w:val="00FD5DDE"/>
    <w:rsid w:val="00FD70B6"/>
    <w:rsid w:val="00FD7AE9"/>
    <w:rsid w:val="00FE11CB"/>
    <w:rsid w:val="00FE28DA"/>
    <w:rsid w:val="00FE29CC"/>
    <w:rsid w:val="00FE3421"/>
    <w:rsid w:val="00FE6BF3"/>
    <w:rsid w:val="00FF022D"/>
    <w:rsid w:val="00FF06DE"/>
    <w:rsid w:val="00FF0F16"/>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fillcolor="none [3214]" strokecolor="none [3215]">
      <v:fill color="none [3214]"/>
      <v:stroke color="none [3215]" weight="1pt"/>
    </o:shapedefaults>
    <o:shapelayout v:ext="edit">
      <o:idmap v:ext="edit" data="1"/>
    </o:shapelayout>
  </w:shapeDefaults>
  <w:decimalSymbol w:val="."/>
  <w:listSeparator w:val=","/>
  <w14:docId w14:val="6A222088"/>
  <w15:docId w15:val="{EE5FB2D3-FC35-4724-B420-E7CD4D14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81748"/>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281748"/>
    <w:pPr>
      <w:outlineLvl w:val="0"/>
    </w:pPr>
    <w:rPr>
      <w:b/>
      <w:color w:val="0090AB" w:themeColor="text2"/>
      <w:sz w:val="22"/>
    </w:rPr>
  </w:style>
  <w:style w:type="paragraph" w:styleId="Heading2">
    <w:name w:val="heading 2"/>
    <w:basedOn w:val="BodyText"/>
    <w:next w:val="BodyText"/>
    <w:link w:val="Heading2Char"/>
    <w:uiPriority w:val="1"/>
    <w:semiHidden/>
    <w:rsid w:val="00281748"/>
    <w:pPr>
      <w:outlineLvl w:val="1"/>
    </w:pPr>
    <w:rPr>
      <w:b/>
    </w:rPr>
  </w:style>
  <w:style w:type="paragraph" w:styleId="Heading3">
    <w:name w:val="heading 3"/>
    <w:basedOn w:val="BodyText"/>
    <w:next w:val="BodyText"/>
    <w:link w:val="Heading3Char"/>
    <w:uiPriority w:val="1"/>
    <w:semiHidden/>
    <w:rsid w:val="00281748"/>
    <w:pPr>
      <w:outlineLvl w:val="2"/>
    </w:pPr>
  </w:style>
  <w:style w:type="paragraph" w:styleId="Heading4">
    <w:name w:val="heading 4"/>
    <w:basedOn w:val="Normal"/>
    <w:next w:val="Normal"/>
    <w:link w:val="Heading4Char"/>
    <w:uiPriority w:val="9"/>
    <w:semiHidden/>
    <w:rsid w:val="00281748"/>
    <w:pPr>
      <w:tabs>
        <w:tab w:val="num" w:pos="624"/>
      </w:tabs>
      <w:ind w:left="624" w:hanging="624"/>
      <w:outlineLvl w:val="3"/>
    </w:pPr>
  </w:style>
  <w:style w:type="paragraph" w:styleId="Heading5">
    <w:name w:val="heading 5"/>
    <w:basedOn w:val="Heading"/>
    <w:next w:val="Normal"/>
    <w:link w:val="Heading5Char"/>
    <w:uiPriority w:val="9"/>
    <w:semiHidden/>
    <w:rsid w:val="00281748"/>
    <w:pPr>
      <w:outlineLvl w:val="4"/>
    </w:pPr>
  </w:style>
  <w:style w:type="paragraph" w:styleId="Heading6">
    <w:name w:val="heading 6"/>
    <w:basedOn w:val="Normal"/>
    <w:next w:val="Normal"/>
    <w:link w:val="Heading6Char"/>
    <w:uiPriority w:val="9"/>
    <w:semiHidden/>
    <w:rsid w:val="00281748"/>
    <w:pPr>
      <w:keepNext/>
      <w:keepLines/>
      <w:numPr>
        <w:ilvl w:val="5"/>
        <w:numId w:val="4"/>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28174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281748"/>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281748"/>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1748"/>
    <w:rPr>
      <w:rFonts w:ascii="Tahoma" w:hAnsi="Tahoma" w:cs="Tahoma"/>
      <w:b/>
      <w:color w:val="0090AB" w:themeColor="text2"/>
      <w:szCs w:val="20"/>
    </w:rPr>
  </w:style>
  <w:style w:type="character" w:customStyle="1" w:styleId="Heading2Char">
    <w:name w:val="Heading 2 Char"/>
    <w:basedOn w:val="DefaultParagraphFont"/>
    <w:link w:val="Heading2"/>
    <w:uiPriority w:val="1"/>
    <w:rsid w:val="00281748"/>
    <w:rPr>
      <w:rFonts w:ascii="Tahoma" w:hAnsi="Tahoma" w:cs="Tahoma"/>
      <w:b/>
      <w:color w:val="000000" w:themeColor="text1"/>
      <w:sz w:val="20"/>
      <w:szCs w:val="20"/>
    </w:rPr>
  </w:style>
  <w:style w:type="paragraph" w:styleId="Title">
    <w:name w:val="Title"/>
    <w:basedOn w:val="BodyText"/>
    <w:link w:val="TitleChar"/>
    <w:uiPriority w:val="10"/>
    <w:rsid w:val="00281748"/>
    <w:pPr>
      <w:spacing w:after="0" w:line="240" w:lineRule="auto"/>
    </w:pPr>
    <w:rPr>
      <w:b/>
      <w:caps/>
      <w:color w:val="0090AB" w:themeColor="text2"/>
      <w:sz w:val="32"/>
    </w:rPr>
  </w:style>
  <w:style w:type="character" w:customStyle="1" w:styleId="TitleChar">
    <w:name w:val="Title Char"/>
    <w:basedOn w:val="DefaultParagraphFont"/>
    <w:link w:val="Title"/>
    <w:uiPriority w:val="10"/>
    <w:rsid w:val="00281748"/>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281748"/>
    <w:pPr>
      <w:spacing w:after="0" w:line="240" w:lineRule="auto"/>
    </w:pPr>
    <w:rPr>
      <w:sz w:val="16"/>
      <w:szCs w:val="16"/>
    </w:rPr>
  </w:style>
  <w:style w:type="paragraph" w:styleId="ListParagraph">
    <w:name w:val="List Paragraph"/>
    <w:basedOn w:val="Normal"/>
    <w:link w:val="ListParagraphChar"/>
    <w:uiPriority w:val="34"/>
    <w:qFormat/>
    <w:rsid w:val="00281748"/>
    <w:pPr>
      <w:ind w:left="720"/>
    </w:pPr>
  </w:style>
  <w:style w:type="character" w:customStyle="1" w:styleId="Heading3Char">
    <w:name w:val="Heading 3 Char"/>
    <w:basedOn w:val="DefaultParagraphFont"/>
    <w:link w:val="Heading3"/>
    <w:uiPriority w:val="1"/>
    <w:rsid w:val="00281748"/>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281748"/>
    <w:rPr>
      <w:b/>
    </w:rPr>
  </w:style>
  <w:style w:type="paragraph" w:customStyle="1" w:styleId="Tableheading">
    <w:name w:val="Table heading"/>
    <w:basedOn w:val="Tabletext"/>
    <w:link w:val="TableheadingChar"/>
    <w:uiPriority w:val="8"/>
    <w:qFormat/>
    <w:rsid w:val="00281748"/>
    <w:rPr>
      <w:b/>
      <w:color w:val="FFFFFF" w:themeColor="background1"/>
      <w:sz w:val="22"/>
      <w:szCs w:val="22"/>
    </w:rPr>
  </w:style>
  <w:style w:type="paragraph" w:customStyle="1" w:styleId="Tablesubhead">
    <w:name w:val="Table subhead"/>
    <w:basedOn w:val="Tabletext"/>
    <w:next w:val="Tabletext"/>
    <w:link w:val="TablesubheadChar"/>
    <w:uiPriority w:val="8"/>
    <w:qFormat/>
    <w:rsid w:val="00281748"/>
    <w:rPr>
      <w:b/>
      <w:szCs w:val="22"/>
    </w:rPr>
  </w:style>
  <w:style w:type="character" w:customStyle="1" w:styleId="TableheadingChar">
    <w:name w:val="Table heading Char"/>
    <w:basedOn w:val="DefaultParagraphFont"/>
    <w:link w:val="Tableheading"/>
    <w:uiPriority w:val="8"/>
    <w:rsid w:val="00281748"/>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281748"/>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281748"/>
    <w:rPr>
      <w:rFonts w:ascii="Tahoma" w:hAnsi="Tahoma" w:cs="Tahoma"/>
      <w:b/>
      <w:color w:val="000000" w:themeColor="text1"/>
      <w:sz w:val="20"/>
    </w:rPr>
  </w:style>
  <w:style w:type="paragraph" w:styleId="Footer">
    <w:name w:val="footer"/>
    <w:basedOn w:val="BodyText"/>
    <w:link w:val="FooterChar"/>
    <w:uiPriority w:val="99"/>
    <w:unhideWhenUsed/>
    <w:rsid w:val="00281748"/>
    <w:pPr>
      <w:spacing w:after="0" w:line="240" w:lineRule="atLeast"/>
      <w:ind w:right="113"/>
    </w:pPr>
    <w:rPr>
      <w:color w:val="595959" w:themeColor="text1" w:themeTint="A6"/>
      <w:sz w:val="17"/>
    </w:rPr>
  </w:style>
  <w:style w:type="character" w:customStyle="1" w:styleId="FooterChar">
    <w:name w:val="Footer Char"/>
    <w:basedOn w:val="DefaultParagraphFont"/>
    <w:link w:val="Footer"/>
    <w:uiPriority w:val="99"/>
    <w:rsid w:val="00281748"/>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281748"/>
    <w:rPr>
      <w:rFonts w:ascii="Tahoma" w:hAnsi="Tahoma" w:cs="Tahoma"/>
      <w:color w:val="000000" w:themeColor="text1"/>
      <w:sz w:val="20"/>
      <w:szCs w:val="20"/>
    </w:rPr>
  </w:style>
  <w:style w:type="numbering" w:customStyle="1" w:styleId="ListBullets">
    <w:name w:val="__List Bullets"/>
    <w:uiPriority w:val="99"/>
    <w:rsid w:val="0026270A"/>
    <w:pPr>
      <w:numPr>
        <w:numId w:val="1"/>
      </w:numPr>
    </w:pPr>
  </w:style>
  <w:style w:type="character" w:customStyle="1" w:styleId="ListParagraphChar">
    <w:name w:val="List Paragraph Char"/>
    <w:basedOn w:val="DefaultParagraphFont"/>
    <w:link w:val="ListParagraph"/>
    <w:uiPriority w:val="34"/>
    <w:semiHidden/>
    <w:rsid w:val="00281748"/>
    <w:rPr>
      <w:rFonts w:ascii="Tahoma" w:hAnsi="Tahoma" w:cs="Tahoma"/>
      <w:color w:val="000000" w:themeColor="text1"/>
      <w:sz w:val="20"/>
      <w:szCs w:val="20"/>
    </w:rPr>
  </w:style>
  <w:style w:type="numbering" w:customStyle="1" w:styleId="ListNumbers">
    <w:name w:val="__List Numbers"/>
    <w:basedOn w:val="NoList"/>
    <w:uiPriority w:val="99"/>
    <w:rsid w:val="0026270A"/>
    <w:pPr>
      <w:numPr>
        <w:numId w:val="3"/>
      </w:numPr>
    </w:pPr>
  </w:style>
  <w:style w:type="paragraph" w:styleId="List2">
    <w:name w:val="List 2"/>
    <w:basedOn w:val="Normal"/>
    <w:next w:val="BodyText"/>
    <w:uiPriority w:val="99"/>
    <w:semiHidden/>
    <w:rsid w:val="00281748"/>
    <w:pPr>
      <w:contextualSpacing/>
    </w:pPr>
  </w:style>
  <w:style w:type="paragraph" w:styleId="ListContinue">
    <w:name w:val="List Continue"/>
    <w:basedOn w:val="Normal"/>
    <w:uiPriority w:val="99"/>
    <w:semiHidden/>
    <w:unhideWhenUsed/>
    <w:rsid w:val="00281748"/>
    <w:pPr>
      <w:ind w:left="283"/>
      <w:contextualSpacing/>
    </w:pPr>
  </w:style>
  <w:style w:type="paragraph" w:customStyle="1" w:styleId="Tabletext">
    <w:name w:val="Table text"/>
    <w:basedOn w:val="BodyText"/>
    <w:link w:val="TabletextChar"/>
    <w:uiPriority w:val="8"/>
    <w:qFormat/>
    <w:rsid w:val="00281748"/>
    <w:pPr>
      <w:spacing w:after="0"/>
      <w:ind w:left="113" w:right="113"/>
    </w:pPr>
  </w:style>
  <w:style w:type="character" w:customStyle="1" w:styleId="Heading5Char">
    <w:name w:val="Heading 5 Char"/>
    <w:basedOn w:val="DefaultParagraphFont"/>
    <w:link w:val="Heading5"/>
    <w:uiPriority w:val="9"/>
    <w:semiHidden/>
    <w:rsid w:val="00281748"/>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281748"/>
    <w:rPr>
      <w:rFonts w:ascii="Tahoma" w:hAnsi="Tahoma" w:cs="Tahoma"/>
      <w:color w:val="000000" w:themeColor="text1"/>
      <w:sz w:val="20"/>
      <w:szCs w:val="20"/>
    </w:rPr>
  </w:style>
  <w:style w:type="paragraph" w:styleId="List">
    <w:name w:val="List"/>
    <w:basedOn w:val="Normal"/>
    <w:next w:val="BodyText"/>
    <w:uiPriority w:val="99"/>
    <w:semiHidden/>
    <w:rsid w:val="00281748"/>
    <w:pPr>
      <w:contextualSpacing/>
    </w:pPr>
  </w:style>
  <w:style w:type="character" w:customStyle="1" w:styleId="Heading6Char">
    <w:name w:val="Heading 6 Char"/>
    <w:basedOn w:val="DefaultParagraphFont"/>
    <w:link w:val="Heading6"/>
    <w:uiPriority w:val="9"/>
    <w:semiHidden/>
    <w:rsid w:val="00281748"/>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28174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817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174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81748"/>
    <w:rPr>
      <w:color w:val="0000FF"/>
      <w:u w:val="single"/>
    </w:rPr>
  </w:style>
  <w:style w:type="paragraph" w:customStyle="1" w:styleId="1pt">
    <w:name w:val="___1pt"/>
    <w:basedOn w:val="Footer"/>
    <w:uiPriority w:val="1"/>
    <w:semiHidden/>
    <w:rsid w:val="00281748"/>
    <w:pPr>
      <w:spacing w:line="20" w:lineRule="atLeast"/>
    </w:pPr>
    <w:rPr>
      <w:color w:val="auto"/>
      <w:sz w:val="2"/>
    </w:rPr>
  </w:style>
  <w:style w:type="paragraph" w:styleId="BodyText">
    <w:name w:val="Body Text"/>
    <w:aliases w:val="Body"/>
    <w:link w:val="BodyTextChar"/>
    <w:uiPriority w:val="5"/>
    <w:qFormat/>
    <w:rsid w:val="00281748"/>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281748"/>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281748"/>
    <w:pPr>
      <w:ind w:left="624"/>
    </w:pPr>
  </w:style>
  <w:style w:type="character" w:customStyle="1" w:styleId="BodyTextIndentChar">
    <w:name w:val="Body Text Indent Char"/>
    <w:aliases w:val="Body indent Char"/>
    <w:basedOn w:val="DefaultParagraphFont"/>
    <w:link w:val="BodyTextIndent"/>
    <w:uiPriority w:val="5"/>
    <w:rsid w:val="00281748"/>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281748"/>
    <w:pPr>
      <w:ind w:firstLine="360"/>
    </w:pPr>
  </w:style>
  <w:style w:type="character" w:customStyle="1" w:styleId="BodyTextFirstIndentChar">
    <w:name w:val="Body Text First Indent Char"/>
    <w:basedOn w:val="BodyTextChar"/>
    <w:link w:val="BodyTextFirstIndent"/>
    <w:uiPriority w:val="99"/>
    <w:semiHidden/>
    <w:rsid w:val="00281748"/>
    <w:rPr>
      <w:rFonts w:ascii="Tahoma" w:hAnsi="Tahoma" w:cs="Tahoma"/>
      <w:color w:val="000000" w:themeColor="text1"/>
      <w:sz w:val="20"/>
      <w:szCs w:val="20"/>
    </w:rPr>
  </w:style>
  <w:style w:type="paragraph" w:styleId="Date">
    <w:name w:val="Date"/>
    <w:basedOn w:val="BodyText"/>
    <w:link w:val="DateChar"/>
    <w:uiPriority w:val="99"/>
    <w:unhideWhenUsed/>
    <w:rsid w:val="00281748"/>
    <w:pPr>
      <w:spacing w:after="0"/>
    </w:pPr>
    <w:rPr>
      <w:sz w:val="22"/>
      <w:szCs w:val="22"/>
    </w:rPr>
  </w:style>
  <w:style w:type="paragraph" w:customStyle="1" w:styleId="Tablesubheadturquoise">
    <w:name w:val="Table subhead turquoise"/>
    <w:basedOn w:val="Tablesubhead"/>
    <w:uiPriority w:val="8"/>
    <w:qFormat/>
    <w:rsid w:val="00281748"/>
    <w:rPr>
      <w:color w:val="0090AB" w:themeColor="text2"/>
    </w:rPr>
  </w:style>
  <w:style w:type="table" w:customStyle="1" w:styleId="ElexonTable">
    <w:name w:val="_Elexon Table"/>
    <w:basedOn w:val="TableNormal"/>
    <w:uiPriority w:val="99"/>
    <w:rsid w:val="00281748"/>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2817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281748"/>
    <w:pPr>
      <w:spacing w:after="0" w:line="240" w:lineRule="auto"/>
    </w:pPr>
    <w:rPr>
      <w:b/>
      <w:caps/>
      <w:color w:val="0090AB" w:themeColor="text2"/>
      <w:sz w:val="22"/>
    </w:rPr>
  </w:style>
  <w:style w:type="paragraph" w:customStyle="1" w:styleId="Introtabletextbold">
    <w:name w:val="Intro table text bold"/>
    <w:basedOn w:val="Introtabletext"/>
    <w:rsid w:val="00281748"/>
    <w:rPr>
      <w:b/>
    </w:rPr>
  </w:style>
  <w:style w:type="paragraph" w:customStyle="1" w:styleId="Sectionheading">
    <w:name w:val="Section heading"/>
    <w:basedOn w:val="BodyText"/>
    <w:next w:val="BodyText"/>
    <w:qFormat/>
    <w:rsid w:val="0026270A"/>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26270A"/>
    <w:pPr>
      <w:numPr>
        <w:numId w:val="9"/>
      </w:numPr>
    </w:pPr>
  </w:style>
  <w:style w:type="paragraph" w:styleId="ListBullet2">
    <w:name w:val="List Bullet 2"/>
    <w:aliases w:val="Bullet 2"/>
    <w:basedOn w:val="ListBullet"/>
    <w:uiPriority w:val="7"/>
    <w:unhideWhenUsed/>
    <w:qFormat/>
    <w:rsid w:val="0026270A"/>
    <w:pPr>
      <w:numPr>
        <w:ilvl w:val="1"/>
      </w:numPr>
    </w:pPr>
  </w:style>
  <w:style w:type="character" w:customStyle="1" w:styleId="DateChar">
    <w:name w:val="Date Char"/>
    <w:basedOn w:val="DefaultParagraphFont"/>
    <w:link w:val="Date"/>
    <w:uiPriority w:val="99"/>
    <w:rsid w:val="00281748"/>
    <w:rPr>
      <w:rFonts w:ascii="Tahoma" w:hAnsi="Tahoma" w:cs="Tahoma"/>
      <w:color w:val="000000" w:themeColor="text1"/>
    </w:rPr>
  </w:style>
  <w:style w:type="paragraph" w:styleId="ListBullet3">
    <w:name w:val="List Bullet 3"/>
    <w:aliases w:val="Bullet 3"/>
    <w:basedOn w:val="ListBullet2"/>
    <w:uiPriority w:val="7"/>
    <w:unhideWhenUsed/>
    <w:qFormat/>
    <w:rsid w:val="0026270A"/>
    <w:pPr>
      <w:numPr>
        <w:ilvl w:val="2"/>
      </w:numPr>
    </w:pPr>
  </w:style>
  <w:style w:type="paragraph" w:styleId="BodyTextIndent2">
    <w:name w:val="Body Text Indent 2"/>
    <w:basedOn w:val="BodyText"/>
    <w:link w:val="BodyTextIndent2Char"/>
    <w:uiPriority w:val="99"/>
    <w:semiHidden/>
    <w:rsid w:val="00281748"/>
    <w:pPr>
      <w:ind w:left="1021"/>
    </w:pPr>
  </w:style>
  <w:style w:type="character" w:customStyle="1" w:styleId="BodyTextIndent2Char">
    <w:name w:val="Body Text Indent 2 Char"/>
    <w:basedOn w:val="DefaultParagraphFont"/>
    <w:link w:val="BodyTextIndent2"/>
    <w:uiPriority w:val="99"/>
    <w:semiHidden/>
    <w:rsid w:val="00281748"/>
    <w:rPr>
      <w:rFonts w:ascii="Tahoma" w:hAnsi="Tahoma" w:cs="Tahoma"/>
      <w:color w:val="000000" w:themeColor="text1"/>
      <w:sz w:val="20"/>
      <w:szCs w:val="20"/>
    </w:rPr>
  </w:style>
  <w:style w:type="paragraph" w:customStyle="1" w:styleId="Heading">
    <w:name w:val="Heading"/>
    <w:basedOn w:val="BodyText"/>
    <w:next w:val="BodyText"/>
    <w:uiPriority w:val="1"/>
    <w:qFormat/>
    <w:rsid w:val="00281748"/>
    <w:pPr>
      <w:spacing w:before="200"/>
    </w:pPr>
    <w:rPr>
      <w:b/>
      <w:color w:val="0090AB" w:themeColor="text2"/>
      <w:sz w:val="22"/>
    </w:rPr>
  </w:style>
  <w:style w:type="paragraph" w:styleId="BodyTextIndent3">
    <w:name w:val="Body Text Indent 3"/>
    <w:basedOn w:val="BodyText"/>
    <w:link w:val="BodyTextIndent3Char"/>
    <w:uiPriority w:val="99"/>
    <w:semiHidden/>
    <w:rsid w:val="00281748"/>
    <w:pPr>
      <w:ind w:left="1418"/>
    </w:pPr>
    <w:rPr>
      <w:szCs w:val="16"/>
    </w:rPr>
  </w:style>
  <w:style w:type="character" w:customStyle="1" w:styleId="BodyTextIndent3Char">
    <w:name w:val="Body Text Indent 3 Char"/>
    <w:basedOn w:val="DefaultParagraphFont"/>
    <w:link w:val="BodyTextIndent3"/>
    <w:uiPriority w:val="99"/>
    <w:semiHidden/>
    <w:rsid w:val="00281748"/>
    <w:rPr>
      <w:rFonts w:ascii="Tahoma" w:hAnsi="Tahoma" w:cs="Tahoma"/>
      <w:color w:val="000000" w:themeColor="text1"/>
      <w:sz w:val="20"/>
      <w:szCs w:val="16"/>
    </w:rPr>
  </w:style>
  <w:style w:type="paragraph" w:styleId="List3">
    <w:name w:val="List 3"/>
    <w:basedOn w:val="Normal"/>
    <w:next w:val="BodyText"/>
    <w:uiPriority w:val="99"/>
    <w:semiHidden/>
    <w:rsid w:val="00281748"/>
    <w:pPr>
      <w:contextualSpacing/>
    </w:pPr>
  </w:style>
  <w:style w:type="paragraph" w:styleId="List4">
    <w:name w:val="List 4"/>
    <w:basedOn w:val="Normal"/>
    <w:uiPriority w:val="99"/>
    <w:semiHidden/>
    <w:rsid w:val="00281748"/>
    <w:pPr>
      <w:ind w:left="1132" w:hanging="283"/>
      <w:contextualSpacing/>
    </w:pPr>
  </w:style>
  <w:style w:type="paragraph" w:styleId="List5">
    <w:name w:val="List 5"/>
    <w:basedOn w:val="Normal"/>
    <w:uiPriority w:val="99"/>
    <w:semiHidden/>
    <w:rsid w:val="00281748"/>
    <w:pPr>
      <w:ind w:left="1415" w:hanging="283"/>
      <w:contextualSpacing/>
    </w:pPr>
  </w:style>
  <w:style w:type="paragraph" w:styleId="ListNumber3">
    <w:name w:val="List Number 3"/>
    <w:basedOn w:val="ListNumber2"/>
    <w:uiPriority w:val="99"/>
    <w:semiHidden/>
    <w:unhideWhenUsed/>
    <w:rsid w:val="00281748"/>
    <w:pPr>
      <w:numPr>
        <w:ilvl w:val="2"/>
      </w:numPr>
    </w:pPr>
  </w:style>
  <w:style w:type="paragraph" w:styleId="ListNumber2">
    <w:name w:val="List Number 2"/>
    <w:aliases w:val="Number list 2"/>
    <w:basedOn w:val="ListNumber"/>
    <w:uiPriority w:val="6"/>
    <w:unhideWhenUsed/>
    <w:qFormat/>
    <w:rsid w:val="00281748"/>
    <w:pPr>
      <w:numPr>
        <w:ilvl w:val="1"/>
      </w:numPr>
    </w:pPr>
  </w:style>
  <w:style w:type="paragraph" w:styleId="FootnoteText">
    <w:name w:val="footnote text"/>
    <w:basedOn w:val="Normal"/>
    <w:link w:val="FootnoteTextChar"/>
    <w:uiPriority w:val="99"/>
    <w:semiHidden/>
    <w:rsid w:val="00281748"/>
    <w:pPr>
      <w:spacing w:after="0" w:line="240" w:lineRule="auto"/>
    </w:pPr>
  </w:style>
  <w:style w:type="character" w:customStyle="1" w:styleId="FootnoteTextChar">
    <w:name w:val="Footnote Text Char"/>
    <w:basedOn w:val="DefaultParagraphFont"/>
    <w:link w:val="FootnoteText"/>
    <w:uiPriority w:val="99"/>
    <w:semiHidden/>
    <w:rsid w:val="00281748"/>
    <w:rPr>
      <w:rFonts w:ascii="Tahoma" w:hAnsi="Tahoma" w:cs="Tahoma"/>
      <w:color w:val="000000" w:themeColor="text1"/>
      <w:sz w:val="20"/>
      <w:szCs w:val="20"/>
    </w:rPr>
  </w:style>
  <w:style w:type="character" w:styleId="PageNumber">
    <w:name w:val="page number"/>
    <w:basedOn w:val="DefaultParagraphFont"/>
    <w:uiPriority w:val="99"/>
    <w:semiHidden/>
    <w:unhideWhenUsed/>
    <w:rsid w:val="00281748"/>
  </w:style>
  <w:style w:type="paragraph" w:styleId="ListNumber">
    <w:name w:val="List Number"/>
    <w:aliases w:val="Number list 1"/>
    <w:basedOn w:val="BodyText"/>
    <w:uiPriority w:val="6"/>
    <w:qFormat/>
    <w:rsid w:val="00281748"/>
    <w:pPr>
      <w:numPr>
        <w:numId w:val="5"/>
      </w:numPr>
    </w:pPr>
  </w:style>
  <w:style w:type="paragraph" w:styleId="ListContinue2">
    <w:name w:val="List Continue 2"/>
    <w:basedOn w:val="Normal"/>
    <w:uiPriority w:val="99"/>
    <w:semiHidden/>
    <w:rsid w:val="00281748"/>
    <w:pPr>
      <w:spacing w:after="120"/>
      <w:ind w:left="566"/>
      <w:contextualSpacing/>
    </w:pPr>
  </w:style>
  <w:style w:type="numbering" w:customStyle="1" w:styleId="ListHeadings">
    <w:name w:val="__List Headings"/>
    <w:uiPriority w:val="99"/>
    <w:rsid w:val="0026270A"/>
    <w:pPr>
      <w:numPr>
        <w:numId w:val="2"/>
      </w:numPr>
    </w:pPr>
  </w:style>
  <w:style w:type="table" w:styleId="LightShading-Accent1">
    <w:name w:val="Light Shading Accent 1"/>
    <w:basedOn w:val="TableNormal"/>
    <w:uiPriority w:val="60"/>
    <w:semiHidden/>
    <w:rsid w:val="00281748"/>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281748"/>
    <w:pPr>
      <w:spacing w:after="0"/>
    </w:pPr>
    <w:rPr>
      <w:sz w:val="22"/>
      <w:szCs w:val="22"/>
    </w:rPr>
  </w:style>
  <w:style w:type="paragraph" w:styleId="Header">
    <w:name w:val="header"/>
    <w:basedOn w:val="BodyText"/>
    <w:link w:val="HeaderChar"/>
    <w:uiPriority w:val="99"/>
    <w:unhideWhenUsed/>
    <w:rsid w:val="00281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748"/>
    <w:rPr>
      <w:rFonts w:ascii="Tahoma" w:hAnsi="Tahoma" w:cs="Tahoma"/>
      <w:color w:val="000000" w:themeColor="text1"/>
      <w:sz w:val="20"/>
      <w:szCs w:val="20"/>
    </w:rPr>
  </w:style>
  <w:style w:type="paragraph" w:customStyle="1" w:styleId="Coverconfidentiality">
    <w:name w:val="Cover confidentiality"/>
    <w:basedOn w:val="Normal"/>
    <w:uiPriority w:val="6"/>
    <w:rsid w:val="00D90263"/>
    <w:pPr>
      <w:spacing w:after="0" w:line="240" w:lineRule="auto"/>
    </w:pPr>
    <w:rPr>
      <w:b/>
      <w:caps/>
      <w:color w:val="0090AB" w:themeColor="text2"/>
      <w:sz w:val="18"/>
    </w:rPr>
  </w:style>
  <w:style w:type="paragraph" w:customStyle="1" w:styleId="Covertitle">
    <w:name w:val="Cover title"/>
    <w:basedOn w:val="Normal"/>
    <w:uiPriority w:val="6"/>
    <w:rsid w:val="00D90263"/>
    <w:pPr>
      <w:spacing w:after="0" w:line="680" w:lineRule="atLeast"/>
    </w:pPr>
    <w:rPr>
      <w:color w:val="0090AB" w:themeColor="text2"/>
      <w:sz w:val="64"/>
    </w:rPr>
  </w:style>
  <w:style w:type="paragraph" w:customStyle="1" w:styleId="Coversubtitle">
    <w:name w:val="Cover subtitle"/>
    <w:basedOn w:val="Normal"/>
    <w:uiPriority w:val="6"/>
    <w:rsid w:val="00D90263"/>
    <w:pPr>
      <w:spacing w:after="0" w:line="520" w:lineRule="atLeast"/>
    </w:pPr>
    <w:rPr>
      <w:color w:val="65C7C2" w:themeColor="accent1"/>
      <w:sz w:val="44"/>
    </w:rPr>
  </w:style>
  <w:style w:type="paragraph" w:customStyle="1" w:styleId="Coverdocumentnumber">
    <w:name w:val="Cover document number"/>
    <w:basedOn w:val="Normal"/>
    <w:uiPriority w:val="6"/>
    <w:rsid w:val="00D90263"/>
    <w:pPr>
      <w:spacing w:after="0" w:line="240" w:lineRule="auto"/>
    </w:pPr>
    <w:rPr>
      <w:b/>
      <w:caps/>
      <w:color w:val="0090AB" w:themeColor="text2"/>
    </w:rPr>
  </w:style>
  <w:style w:type="paragraph" w:customStyle="1" w:styleId="Coverdocumentowner">
    <w:name w:val="Cover document owner"/>
    <w:basedOn w:val="Normal"/>
    <w:uiPriority w:val="6"/>
    <w:rsid w:val="006644B1"/>
    <w:pPr>
      <w:spacing w:after="100" w:line="240" w:lineRule="auto"/>
    </w:pPr>
    <w:rPr>
      <w:b/>
      <w:color w:val="7AA3AA" w:themeColor="accent2"/>
      <w:sz w:val="22"/>
    </w:rPr>
  </w:style>
  <w:style w:type="paragraph" w:customStyle="1" w:styleId="Covercontactdetails">
    <w:name w:val="Cover contact details"/>
    <w:basedOn w:val="Coverdocumentowner"/>
    <w:uiPriority w:val="6"/>
    <w:rsid w:val="006644B1"/>
  </w:style>
  <w:style w:type="paragraph" w:customStyle="1" w:styleId="Coverdate">
    <w:name w:val="Cover date"/>
    <w:basedOn w:val="Coverdocumentowner"/>
    <w:uiPriority w:val="6"/>
    <w:rsid w:val="006644B1"/>
    <w:pPr>
      <w:spacing w:after="0"/>
    </w:pPr>
  </w:style>
  <w:style w:type="paragraph" w:styleId="TOC4">
    <w:name w:val="toc 4"/>
    <w:basedOn w:val="BodyText"/>
    <w:uiPriority w:val="39"/>
    <w:semiHidden/>
    <w:rsid w:val="00221155"/>
    <w:pPr>
      <w:tabs>
        <w:tab w:val="left" w:pos="624"/>
        <w:tab w:val="right" w:pos="10308"/>
      </w:tabs>
      <w:spacing w:after="100"/>
    </w:pPr>
  </w:style>
  <w:style w:type="paragraph" w:styleId="TOC3">
    <w:name w:val="toc 3"/>
    <w:basedOn w:val="TOC2"/>
    <w:uiPriority w:val="39"/>
    <w:semiHidden/>
    <w:rsid w:val="00463228"/>
  </w:style>
  <w:style w:type="paragraph" w:styleId="TOC1">
    <w:name w:val="toc 1"/>
    <w:basedOn w:val="BodyText"/>
    <w:uiPriority w:val="39"/>
    <w:unhideWhenUsed/>
    <w:rsid w:val="00BF2C6C"/>
    <w:pPr>
      <w:tabs>
        <w:tab w:val="left" w:pos="624"/>
        <w:tab w:val="right" w:leader="dot" w:pos="10319"/>
      </w:tabs>
      <w:spacing w:after="100"/>
    </w:pPr>
    <w:rPr>
      <w:b/>
      <w:caps/>
    </w:rPr>
  </w:style>
  <w:style w:type="paragraph" w:styleId="TOC2">
    <w:name w:val="toc 2"/>
    <w:basedOn w:val="TOC1"/>
    <w:uiPriority w:val="39"/>
    <w:unhideWhenUsed/>
    <w:rsid w:val="00BF2C6C"/>
    <w:rPr>
      <w:b w:val="0"/>
      <w:caps w:val="0"/>
    </w:rPr>
  </w:style>
  <w:style w:type="paragraph" w:customStyle="1" w:styleId="FooterDate">
    <w:name w:val="Footer Date"/>
    <w:basedOn w:val="Footer"/>
    <w:semiHidden/>
    <w:rsid w:val="00281748"/>
    <w:pPr>
      <w:framePr w:hSpace="181" w:wrap="around" w:vAnchor="page" w:hAnchor="margin" w:y="15376"/>
      <w:suppressOverlap/>
    </w:pPr>
  </w:style>
  <w:style w:type="paragraph" w:customStyle="1" w:styleId="FooterRef1">
    <w:name w:val="Footer Ref 1"/>
    <w:basedOn w:val="Footer"/>
    <w:semiHidden/>
    <w:rsid w:val="00281748"/>
    <w:pPr>
      <w:framePr w:hSpace="181" w:wrap="around" w:vAnchor="page" w:hAnchor="margin" w:y="15376"/>
      <w:suppressOverlap/>
    </w:pPr>
  </w:style>
  <w:style w:type="paragraph" w:styleId="TOCHeading">
    <w:name w:val="TOC Heading"/>
    <w:basedOn w:val="Title"/>
    <w:next w:val="TOC1"/>
    <w:uiPriority w:val="39"/>
    <w:rsid w:val="00180E5B"/>
    <w:pPr>
      <w:keepNext/>
      <w:keepLines/>
      <w:spacing w:before="340" w:after="113"/>
    </w:pPr>
    <w:rPr>
      <w:rFonts w:eastAsiaTheme="majorEastAsia" w:cstheme="majorBidi"/>
      <w:bCs/>
      <w:szCs w:val="28"/>
    </w:rPr>
  </w:style>
  <w:style w:type="paragraph" w:customStyle="1" w:styleId="FooterRef2">
    <w:name w:val="Footer Ref 2"/>
    <w:basedOn w:val="Footer"/>
    <w:semiHidden/>
    <w:rsid w:val="00281748"/>
    <w:pPr>
      <w:framePr w:hSpace="181" w:wrap="around" w:vAnchor="page" w:hAnchor="margin" w:y="15376"/>
      <w:suppressOverlap/>
    </w:pPr>
  </w:style>
  <w:style w:type="paragraph" w:customStyle="1" w:styleId="FooterRef3">
    <w:name w:val="Footer Ref 3"/>
    <w:basedOn w:val="Footer"/>
    <w:semiHidden/>
    <w:rsid w:val="00281748"/>
    <w:pPr>
      <w:framePr w:hSpace="181" w:wrap="around" w:vAnchor="page" w:hAnchor="margin" w:y="15376"/>
      <w:suppressOverlap/>
    </w:pPr>
  </w:style>
  <w:style w:type="paragraph" w:customStyle="1" w:styleId="Numberbodytext1">
    <w:name w:val="Number body text 1"/>
    <w:basedOn w:val="BodyText"/>
    <w:uiPriority w:val="3"/>
    <w:unhideWhenUsed/>
    <w:qFormat/>
    <w:rsid w:val="0026270A"/>
    <w:pPr>
      <w:numPr>
        <w:ilvl w:val="1"/>
        <w:numId w:val="7"/>
      </w:numPr>
    </w:pPr>
  </w:style>
  <w:style w:type="paragraph" w:customStyle="1" w:styleId="Numberbodytext2">
    <w:name w:val="Number body text 2"/>
    <w:basedOn w:val="Numberbodytext1"/>
    <w:uiPriority w:val="3"/>
    <w:unhideWhenUsed/>
    <w:qFormat/>
    <w:rsid w:val="0026270A"/>
    <w:pPr>
      <w:numPr>
        <w:ilvl w:val="2"/>
      </w:numPr>
    </w:pPr>
  </w:style>
  <w:style w:type="paragraph" w:customStyle="1" w:styleId="Numberheading">
    <w:name w:val="Number heading"/>
    <w:basedOn w:val="Heading"/>
    <w:next w:val="Numberbodytext1"/>
    <w:uiPriority w:val="2"/>
    <w:qFormat/>
    <w:rsid w:val="0026270A"/>
    <w:pPr>
      <w:numPr>
        <w:numId w:val="7"/>
      </w:numPr>
    </w:pPr>
  </w:style>
  <w:style w:type="character" w:styleId="PlaceholderText">
    <w:name w:val="Placeholder Text"/>
    <w:basedOn w:val="DefaultParagraphFont"/>
    <w:uiPriority w:val="99"/>
    <w:semiHidden/>
    <w:rsid w:val="00281748"/>
    <w:rPr>
      <w:color w:val="808080"/>
    </w:rPr>
  </w:style>
  <w:style w:type="numbering" w:customStyle="1" w:styleId="ListTable">
    <w:name w:val="__List Table"/>
    <w:uiPriority w:val="99"/>
    <w:rsid w:val="0026270A"/>
    <w:pPr>
      <w:numPr>
        <w:numId w:val="6"/>
      </w:numPr>
    </w:pPr>
  </w:style>
  <w:style w:type="paragraph" w:customStyle="1" w:styleId="Tablenumbered">
    <w:name w:val="Table numbered"/>
    <w:basedOn w:val="Tabletext"/>
    <w:uiPriority w:val="9"/>
    <w:qFormat/>
    <w:rsid w:val="0026270A"/>
    <w:pPr>
      <w:numPr>
        <w:numId w:val="8"/>
      </w:numPr>
    </w:pPr>
  </w:style>
  <w:style w:type="character" w:styleId="FootnoteReference">
    <w:name w:val="footnote reference"/>
    <w:basedOn w:val="DefaultParagraphFont"/>
    <w:uiPriority w:val="99"/>
    <w:semiHidden/>
    <w:unhideWhenUsed/>
    <w:rsid w:val="00D2578D"/>
    <w:rPr>
      <w:vertAlign w:val="superscript"/>
    </w:rPr>
  </w:style>
  <w:style w:type="table" w:customStyle="1" w:styleId="LightList-Accent52">
    <w:name w:val="Light List - Accent 52"/>
    <w:basedOn w:val="TableNormal"/>
    <w:next w:val="LightList-Accent5"/>
    <w:uiPriority w:val="61"/>
    <w:rsid w:val="00D2578D"/>
    <w:rPr>
      <w:rFonts w:ascii="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single" w:sz="8"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D2578D"/>
    <w:tblPr>
      <w:tblStyleRowBandSize w:val="1"/>
      <w:tblStyleColBandSize w:val="1"/>
      <w:tblBorders>
        <w:top w:val="single" w:sz="8" w:space="0" w:color="84AE0C" w:themeColor="accent5"/>
        <w:left w:val="single" w:sz="8" w:space="0" w:color="84AE0C" w:themeColor="accent5"/>
        <w:bottom w:val="single" w:sz="8" w:space="0" w:color="84AE0C" w:themeColor="accent5"/>
        <w:right w:val="single" w:sz="8" w:space="0" w:color="84AE0C" w:themeColor="accent5"/>
      </w:tblBorders>
    </w:tblPr>
    <w:tblStylePr w:type="firstRow">
      <w:pPr>
        <w:spacing w:before="0" w:after="0" w:line="240" w:lineRule="auto"/>
      </w:pPr>
      <w:rPr>
        <w:b/>
        <w:bCs/>
        <w:color w:val="FFFFFF" w:themeColor="background1"/>
      </w:rPr>
      <w:tblPr/>
      <w:tcPr>
        <w:shd w:val="clear" w:color="auto" w:fill="84AE0C" w:themeFill="accent5"/>
      </w:tcPr>
    </w:tblStylePr>
    <w:tblStylePr w:type="lastRow">
      <w:pPr>
        <w:spacing w:before="0" w:after="0" w:line="240" w:lineRule="auto"/>
      </w:pPr>
      <w:rPr>
        <w:b/>
        <w:bCs/>
      </w:rPr>
      <w:tblPr/>
      <w:tcPr>
        <w:tcBorders>
          <w:top w:val="double" w:sz="6" w:space="0" w:color="84AE0C" w:themeColor="accent5"/>
          <w:left w:val="single" w:sz="8" w:space="0" w:color="84AE0C" w:themeColor="accent5"/>
          <w:bottom w:val="single" w:sz="8" w:space="0" w:color="84AE0C" w:themeColor="accent5"/>
          <w:right w:val="single" w:sz="8" w:space="0" w:color="84AE0C" w:themeColor="accent5"/>
        </w:tcBorders>
      </w:tcPr>
    </w:tblStylePr>
    <w:tblStylePr w:type="firstCol">
      <w:rPr>
        <w:b/>
        <w:bCs/>
      </w:rPr>
    </w:tblStylePr>
    <w:tblStylePr w:type="lastCol">
      <w:rPr>
        <w:b/>
        <w:bCs/>
      </w:rPr>
    </w:tblStylePr>
    <w:tblStylePr w:type="band1Vert">
      <w:tblPr/>
      <w:tcPr>
        <w:tcBorders>
          <w:top w:val="single" w:sz="8" w:space="0" w:color="84AE0C" w:themeColor="accent5"/>
          <w:left w:val="single" w:sz="8" w:space="0" w:color="84AE0C" w:themeColor="accent5"/>
          <w:bottom w:val="single" w:sz="8" w:space="0" w:color="84AE0C" w:themeColor="accent5"/>
          <w:right w:val="single" w:sz="8" w:space="0" w:color="84AE0C" w:themeColor="accent5"/>
        </w:tcBorders>
      </w:tcPr>
    </w:tblStylePr>
    <w:tblStylePr w:type="band1Horz">
      <w:tblPr/>
      <w:tcPr>
        <w:tcBorders>
          <w:top w:val="single" w:sz="8" w:space="0" w:color="84AE0C" w:themeColor="accent5"/>
          <w:left w:val="single" w:sz="8" w:space="0" w:color="84AE0C" w:themeColor="accent5"/>
          <w:bottom w:val="single" w:sz="8" w:space="0" w:color="84AE0C" w:themeColor="accent5"/>
          <w:right w:val="single" w:sz="8" w:space="0" w:color="84AE0C" w:themeColor="accent5"/>
        </w:tcBorders>
      </w:tcPr>
    </w:tblStylePr>
  </w:style>
  <w:style w:type="table" w:styleId="TableGrid">
    <w:name w:val="Table Grid"/>
    <w:aliases w:val="Elexon Table."/>
    <w:basedOn w:val="TableNormal"/>
    <w:rsid w:val="00B15A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0">
    <w:name w:val="Table Text"/>
    <w:link w:val="TableTextChar0"/>
    <w:qFormat/>
    <w:rsid w:val="000517EC"/>
    <w:pPr>
      <w:spacing w:before="113" w:after="113"/>
    </w:pPr>
    <w:rPr>
      <w:rFonts w:ascii="Tahoma" w:hAnsi="Tahoma" w:cs="Times New Roman"/>
      <w:sz w:val="20"/>
      <w:szCs w:val="24"/>
      <w:lang w:eastAsia="en-GB"/>
    </w:rPr>
  </w:style>
  <w:style w:type="character" w:customStyle="1" w:styleId="TableTextChar0">
    <w:name w:val="Table Text Char"/>
    <w:basedOn w:val="DefaultParagraphFont"/>
    <w:link w:val="TableText0"/>
    <w:rsid w:val="000517EC"/>
    <w:rPr>
      <w:rFonts w:ascii="Tahoma" w:hAnsi="Tahoma" w:cs="Times New Roman"/>
      <w:sz w:val="20"/>
      <w:szCs w:val="24"/>
      <w:lang w:eastAsia="en-GB"/>
    </w:rPr>
  </w:style>
  <w:style w:type="character" w:styleId="CommentReference">
    <w:name w:val="annotation reference"/>
    <w:basedOn w:val="DefaultParagraphFont"/>
    <w:uiPriority w:val="99"/>
    <w:semiHidden/>
    <w:unhideWhenUsed/>
    <w:rsid w:val="004B6BCE"/>
    <w:rPr>
      <w:sz w:val="16"/>
      <w:szCs w:val="16"/>
    </w:rPr>
  </w:style>
  <w:style w:type="paragraph" w:styleId="CommentText">
    <w:name w:val="annotation text"/>
    <w:basedOn w:val="Normal"/>
    <w:link w:val="CommentTextChar"/>
    <w:uiPriority w:val="99"/>
    <w:unhideWhenUsed/>
    <w:rsid w:val="004B6BCE"/>
    <w:pPr>
      <w:spacing w:line="240" w:lineRule="auto"/>
    </w:pPr>
  </w:style>
  <w:style w:type="character" w:customStyle="1" w:styleId="CommentTextChar">
    <w:name w:val="Comment Text Char"/>
    <w:basedOn w:val="DefaultParagraphFont"/>
    <w:link w:val="CommentText"/>
    <w:uiPriority w:val="99"/>
    <w:rsid w:val="004B6BCE"/>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B6BCE"/>
    <w:rPr>
      <w:b/>
      <w:bCs/>
    </w:rPr>
  </w:style>
  <w:style w:type="character" w:customStyle="1" w:styleId="CommentSubjectChar">
    <w:name w:val="Comment Subject Char"/>
    <w:basedOn w:val="CommentTextChar"/>
    <w:link w:val="CommentSubject"/>
    <w:uiPriority w:val="99"/>
    <w:semiHidden/>
    <w:rsid w:val="004B6BCE"/>
    <w:rPr>
      <w:rFonts w:ascii="Tahoma" w:hAnsi="Tahoma" w:cs="Tahoma"/>
      <w:b/>
      <w:bCs/>
      <w:color w:val="000000" w:themeColor="text1"/>
      <w:sz w:val="20"/>
      <w:szCs w:val="20"/>
    </w:rPr>
  </w:style>
  <w:style w:type="character" w:styleId="FollowedHyperlink">
    <w:name w:val="FollowedHyperlink"/>
    <w:basedOn w:val="DefaultParagraphFont"/>
    <w:uiPriority w:val="99"/>
    <w:semiHidden/>
    <w:unhideWhenUsed/>
    <w:rsid w:val="009602B5"/>
    <w:rPr>
      <w:color w:val="213871" w:themeColor="followedHyperlink"/>
      <w:u w:val="single"/>
    </w:rPr>
  </w:style>
  <w:style w:type="paragraph" w:customStyle="1" w:styleId="Default">
    <w:name w:val="Default"/>
    <w:rsid w:val="009C6148"/>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DE7F34"/>
    <w:rPr>
      <w:rFonts w:ascii="Tahoma" w:hAnsi="Tahoma" w:cs="Tahom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5633">
      <w:bodyDiv w:val="1"/>
      <w:marLeft w:val="0"/>
      <w:marRight w:val="0"/>
      <w:marTop w:val="0"/>
      <w:marBottom w:val="0"/>
      <w:divBdr>
        <w:top w:val="none" w:sz="0" w:space="0" w:color="auto"/>
        <w:left w:val="none" w:sz="0" w:space="0" w:color="auto"/>
        <w:bottom w:val="none" w:sz="0" w:space="0" w:color="auto"/>
        <w:right w:val="none" w:sz="0" w:space="0" w:color="auto"/>
      </w:divBdr>
    </w:div>
    <w:div w:id="206917763">
      <w:bodyDiv w:val="1"/>
      <w:marLeft w:val="0"/>
      <w:marRight w:val="0"/>
      <w:marTop w:val="0"/>
      <w:marBottom w:val="0"/>
      <w:divBdr>
        <w:top w:val="none" w:sz="0" w:space="0" w:color="auto"/>
        <w:left w:val="none" w:sz="0" w:space="0" w:color="auto"/>
        <w:bottom w:val="none" w:sz="0" w:space="0" w:color="auto"/>
        <w:right w:val="none" w:sz="0" w:space="0" w:color="auto"/>
      </w:divBdr>
    </w:div>
    <w:div w:id="224343869">
      <w:bodyDiv w:val="1"/>
      <w:marLeft w:val="0"/>
      <w:marRight w:val="0"/>
      <w:marTop w:val="0"/>
      <w:marBottom w:val="0"/>
      <w:divBdr>
        <w:top w:val="none" w:sz="0" w:space="0" w:color="auto"/>
        <w:left w:val="none" w:sz="0" w:space="0" w:color="auto"/>
        <w:bottom w:val="none" w:sz="0" w:space="0" w:color="auto"/>
        <w:right w:val="none" w:sz="0" w:space="0" w:color="auto"/>
      </w:divBdr>
    </w:div>
    <w:div w:id="248807167">
      <w:bodyDiv w:val="1"/>
      <w:marLeft w:val="0"/>
      <w:marRight w:val="0"/>
      <w:marTop w:val="0"/>
      <w:marBottom w:val="0"/>
      <w:divBdr>
        <w:top w:val="none" w:sz="0" w:space="0" w:color="auto"/>
        <w:left w:val="none" w:sz="0" w:space="0" w:color="auto"/>
        <w:bottom w:val="none" w:sz="0" w:space="0" w:color="auto"/>
        <w:right w:val="none" w:sz="0" w:space="0" w:color="auto"/>
      </w:divBdr>
    </w:div>
    <w:div w:id="276059813">
      <w:bodyDiv w:val="1"/>
      <w:marLeft w:val="0"/>
      <w:marRight w:val="0"/>
      <w:marTop w:val="0"/>
      <w:marBottom w:val="0"/>
      <w:divBdr>
        <w:top w:val="none" w:sz="0" w:space="0" w:color="auto"/>
        <w:left w:val="none" w:sz="0" w:space="0" w:color="auto"/>
        <w:bottom w:val="none" w:sz="0" w:space="0" w:color="auto"/>
        <w:right w:val="none" w:sz="0" w:space="0" w:color="auto"/>
      </w:divBdr>
    </w:div>
    <w:div w:id="417798146">
      <w:bodyDiv w:val="1"/>
      <w:marLeft w:val="0"/>
      <w:marRight w:val="0"/>
      <w:marTop w:val="0"/>
      <w:marBottom w:val="0"/>
      <w:divBdr>
        <w:top w:val="none" w:sz="0" w:space="0" w:color="auto"/>
        <w:left w:val="none" w:sz="0" w:space="0" w:color="auto"/>
        <w:bottom w:val="none" w:sz="0" w:space="0" w:color="auto"/>
        <w:right w:val="none" w:sz="0" w:space="0" w:color="auto"/>
      </w:divBdr>
    </w:div>
    <w:div w:id="435948157">
      <w:bodyDiv w:val="1"/>
      <w:marLeft w:val="0"/>
      <w:marRight w:val="0"/>
      <w:marTop w:val="0"/>
      <w:marBottom w:val="0"/>
      <w:divBdr>
        <w:top w:val="none" w:sz="0" w:space="0" w:color="auto"/>
        <w:left w:val="none" w:sz="0" w:space="0" w:color="auto"/>
        <w:bottom w:val="none" w:sz="0" w:space="0" w:color="auto"/>
        <w:right w:val="none" w:sz="0" w:space="0" w:color="auto"/>
      </w:divBdr>
    </w:div>
    <w:div w:id="443500036">
      <w:bodyDiv w:val="1"/>
      <w:marLeft w:val="0"/>
      <w:marRight w:val="0"/>
      <w:marTop w:val="0"/>
      <w:marBottom w:val="0"/>
      <w:divBdr>
        <w:top w:val="none" w:sz="0" w:space="0" w:color="auto"/>
        <w:left w:val="none" w:sz="0" w:space="0" w:color="auto"/>
        <w:bottom w:val="none" w:sz="0" w:space="0" w:color="auto"/>
        <w:right w:val="none" w:sz="0" w:space="0" w:color="auto"/>
      </w:divBdr>
    </w:div>
    <w:div w:id="468061972">
      <w:bodyDiv w:val="1"/>
      <w:marLeft w:val="0"/>
      <w:marRight w:val="0"/>
      <w:marTop w:val="0"/>
      <w:marBottom w:val="0"/>
      <w:divBdr>
        <w:top w:val="none" w:sz="0" w:space="0" w:color="auto"/>
        <w:left w:val="none" w:sz="0" w:space="0" w:color="auto"/>
        <w:bottom w:val="none" w:sz="0" w:space="0" w:color="auto"/>
        <w:right w:val="none" w:sz="0" w:space="0" w:color="auto"/>
      </w:divBdr>
    </w:div>
    <w:div w:id="490606410">
      <w:bodyDiv w:val="1"/>
      <w:marLeft w:val="0"/>
      <w:marRight w:val="0"/>
      <w:marTop w:val="0"/>
      <w:marBottom w:val="0"/>
      <w:divBdr>
        <w:top w:val="none" w:sz="0" w:space="0" w:color="auto"/>
        <w:left w:val="none" w:sz="0" w:space="0" w:color="auto"/>
        <w:bottom w:val="none" w:sz="0" w:space="0" w:color="auto"/>
        <w:right w:val="none" w:sz="0" w:space="0" w:color="auto"/>
      </w:divBdr>
    </w:div>
    <w:div w:id="493952479">
      <w:bodyDiv w:val="1"/>
      <w:marLeft w:val="0"/>
      <w:marRight w:val="0"/>
      <w:marTop w:val="0"/>
      <w:marBottom w:val="0"/>
      <w:divBdr>
        <w:top w:val="none" w:sz="0" w:space="0" w:color="auto"/>
        <w:left w:val="none" w:sz="0" w:space="0" w:color="auto"/>
        <w:bottom w:val="none" w:sz="0" w:space="0" w:color="auto"/>
        <w:right w:val="none" w:sz="0" w:space="0" w:color="auto"/>
      </w:divBdr>
    </w:div>
    <w:div w:id="541746188">
      <w:bodyDiv w:val="1"/>
      <w:marLeft w:val="0"/>
      <w:marRight w:val="0"/>
      <w:marTop w:val="0"/>
      <w:marBottom w:val="0"/>
      <w:divBdr>
        <w:top w:val="none" w:sz="0" w:space="0" w:color="auto"/>
        <w:left w:val="none" w:sz="0" w:space="0" w:color="auto"/>
        <w:bottom w:val="none" w:sz="0" w:space="0" w:color="auto"/>
        <w:right w:val="none" w:sz="0" w:space="0" w:color="auto"/>
      </w:divBdr>
    </w:div>
    <w:div w:id="590746869">
      <w:bodyDiv w:val="1"/>
      <w:marLeft w:val="0"/>
      <w:marRight w:val="0"/>
      <w:marTop w:val="0"/>
      <w:marBottom w:val="0"/>
      <w:divBdr>
        <w:top w:val="none" w:sz="0" w:space="0" w:color="auto"/>
        <w:left w:val="none" w:sz="0" w:space="0" w:color="auto"/>
        <w:bottom w:val="none" w:sz="0" w:space="0" w:color="auto"/>
        <w:right w:val="none" w:sz="0" w:space="0" w:color="auto"/>
      </w:divBdr>
    </w:div>
    <w:div w:id="600141544">
      <w:bodyDiv w:val="1"/>
      <w:marLeft w:val="0"/>
      <w:marRight w:val="0"/>
      <w:marTop w:val="0"/>
      <w:marBottom w:val="0"/>
      <w:divBdr>
        <w:top w:val="none" w:sz="0" w:space="0" w:color="auto"/>
        <w:left w:val="none" w:sz="0" w:space="0" w:color="auto"/>
        <w:bottom w:val="none" w:sz="0" w:space="0" w:color="auto"/>
        <w:right w:val="none" w:sz="0" w:space="0" w:color="auto"/>
      </w:divBdr>
    </w:div>
    <w:div w:id="676659999">
      <w:bodyDiv w:val="1"/>
      <w:marLeft w:val="0"/>
      <w:marRight w:val="0"/>
      <w:marTop w:val="0"/>
      <w:marBottom w:val="0"/>
      <w:divBdr>
        <w:top w:val="none" w:sz="0" w:space="0" w:color="auto"/>
        <w:left w:val="none" w:sz="0" w:space="0" w:color="auto"/>
        <w:bottom w:val="none" w:sz="0" w:space="0" w:color="auto"/>
        <w:right w:val="none" w:sz="0" w:space="0" w:color="auto"/>
      </w:divBdr>
    </w:div>
    <w:div w:id="711463759">
      <w:bodyDiv w:val="1"/>
      <w:marLeft w:val="0"/>
      <w:marRight w:val="0"/>
      <w:marTop w:val="0"/>
      <w:marBottom w:val="0"/>
      <w:divBdr>
        <w:top w:val="none" w:sz="0" w:space="0" w:color="auto"/>
        <w:left w:val="none" w:sz="0" w:space="0" w:color="auto"/>
        <w:bottom w:val="none" w:sz="0" w:space="0" w:color="auto"/>
        <w:right w:val="none" w:sz="0" w:space="0" w:color="auto"/>
      </w:divBdr>
    </w:div>
    <w:div w:id="718820825">
      <w:bodyDiv w:val="1"/>
      <w:marLeft w:val="0"/>
      <w:marRight w:val="0"/>
      <w:marTop w:val="0"/>
      <w:marBottom w:val="0"/>
      <w:divBdr>
        <w:top w:val="none" w:sz="0" w:space="0" w:color="auto"/>
        <w:left w:val="none" w:sz="0" w:space="0" w:color="auto"/>
        <w:bottom w:val="none" w:sz="0" w:space="0" w:color="auto"/>
        <w:right w:val="none" w:sz="0" w:space="0" w:color="auto"/>
      </w:divBdr>
    </w:div>
    <w:div w:id="738134691">
      <w:bodyDiv w:val="1"/>
      <w:marLeft w:val="0"/>
      <w:marRight w:val="0"/>
      <w:marTop w:val="0"/>
      <w:marBottom w:val="0"/>
      <w:divBdr>
        <w:top w:val="none" w:sz="0" w:space="0" w:color="auto"/>
        <w:left w:val="none" w:sz="0" w:space="0" w:color="auto"/>
        <w:bottom w:val="none" w:sz="0" w:space="0" w:color="auto"/>
        <w:right w:val="none" w:sz="0" w:space="0" w:color="auto"/>
      </w:divBdr>
    </w:div>
    <w:div w:id="806122388">
      <w:bodyDiv w:val="1"/>
      <w:marLeft w:val="0"/>
      <w:marRight w:val="0"/>
      <w:marTop w:val="0"/>
      <w:marBottom w:val="0"/>
      <w:divBdr>
        <w:top w:val="none" w:sz="0" w:space="0" w:color="auto"/>
        <w:left w:val="none" w:sz="0" w:space="0" w:color="auto"/>
        <w:bottom w:val="none" w:sz="0" w:space="0" w:color="auto"/>
        <w:right w:val="none" w:sz="0" w:space="0" w:color="auto"/>
      </w:divBdr>
    </w:div>
    <w:div w:id="886912398">
      <w:bodyDiv w:val="1"/>
      <w:marLeft w:val="0"/>
      <w:marRight w:val="0"/>
      <w:marTop w:val="0"/>
      <w:marBottom w:val="0"/>
      <w:divBdr>
        <w:top w:val="none" w:sz="0" w:space="0" w:color="auto"/>
        <w:left w:val="none" w:sz="0" w:space="0" w:color="auto"/>
        <w:bottom w:val="none" w:sz="0" w:space="0" w:color="auto"/>
        <w:right w:val="none" w:sz="0" w:space="0" w:color="auto"/>
      </w:divBdr>
    </w:div>
    <w:div w:id="893658658">
      <w:bodyDiv w:val="1"/>
      <w:marLeft w:val="0"/>
      <w:marRight w:val="0"/>
      <w:marTop w:val="0"/>
      <w:marBottom w:val="0"/>
      <w:divBdr>
        <w:top w:val="none" w:sz="0" w:space="0" w:color="auto"/>
        <w:left w:val="none" w:sz="0" w:space="0" w:color="auto"/>
        <w:bottom w:val="none" w:sz="0" w:space="0" w:color="auto"/>
        <w:right w:val="none" w:sz="0" w:space="0" w:color="auto"/>
      </w:divBdr>
    </w:div>
    <w:div w:id="897519765">
      <w:bodyDiv w:val="1"/>
      <w:marLeft w:val="0"/>
      <w:marRight w:val="0"/>
      <w:marTop w:val="0"/>
      <w:marBottom w:val="0"/>
      <w:divBdr>
        <w:top w:val="none" w:sz="0" w:space="0" w:color="auto"/>
        <w:left w:val="none" w:sz="0" w:space="0" w:color="auto"/>
        <w:bottom w:val="none" w:sz="0" w:space="0" w:color="auto"/>
        <w:right w:val="none" w:sz="0" w:space="0" w:color="auto"/>
      </w:divBdr>
    </w:div>
    <w:div w:id="945313196">
      <w:bodyDiv w:val="1"/>
      <w:marLeft w:val="0"/>
      <w:marRight w:val="0"/>
      <w:marTop w:val="0"/>
      <w:marBottom w:val="0"/>
      <w:divBdr>
        <w:top w:val="none" w:sz="0" w:space="0" w:color="auto"/>
        <w:left w:val="none" w:sz="0" w:space="0" w:color="auto"/>
        <w:bottom w:val="none" w:sz="0" w:space="0" w:color="auto"/>
        <w:right w:val="none" w:sz="0" w:space="0" w:color="auto"/>
      </w:divBdr>
    </w:div>
    <w:div w:id="996374625">
      <w:bodyDiv w:val="1"/>
      <w:marLeft w:val="0"/>
      <w:marRight w:val="0"/>
      <w:marTop w:val="0"/>
      <w:marBottom w:val="0"/>
      <w:divBdr>
        <w:top w:val="none" w:sz="0" w:space="0" w:color="auto"/>
        <w:left w:val="none" w:sz="0" w:space="0" w:color="auto"/>
        <w:bottom w:val="none" w:sz="0" w:space="0" w:color="auto"/>
        <w:right w:val="none" w:sz="0" w:space="0" w:color="auto"/>
      </w:divBdr>
    </w:div>
    <w:div w:id="1061516342">
      <w:bodyDiv w:val="1"/>
      <w:marLeft w:val="0"/>
      <w:marRight w:val="0"/>
      <w:marTop w:val="0"/>
      <w:marBottom w:val="0"/>
      <w:divBdr>
        <w:top w:val="none" w:sz="0" w:space="0" w:color="auto"/>
        <w:left w:val="none" w:sz="0" w:space="0" w:color="auto"/>
        <w:bottom w:val="none" w:sz="0" w:space="0" w:color="auto"/>
        <w:right w:val="none" w:sz="0" w:space="0" w:color="auto"/>
      </w:divBdr>
    </w:div>
    <w:div w:id="1075399755">
      <w:bodyDiv w:val="1"/>
      <w:marLeft w:val="0"/>
      <w:marRight w:val="0"/>
      <w:marTop w:val="0"/>
      <w:marBottom w:val="0"/>
      <w:divBdr>
        <w:top w:val="none" w:sz="0" w:space="0" w:color="auto"/>
        <w:left w:val="none" w:sz="0" w:space="0" w:color="auto"/>
        <w:bottom w:val="none" w:sz="0" w:space="0" w:color="auto"/>
        <w:right w:val="none" w:sz="0" w:space="0" w:color="auto"/>
      </w:divBdr>
    </w:div>
    <w:div w:id="1077290065">
      <w:bodyDiv w:val="1"/>
      <w:marLeft w:val="0"/>
      <w:marRight w:val="0"/>
      <w:marTop w:val="0"/>
      <w:marBottom w:val="0"/>
      <w:divBdr>
        <w:top w:val="none" w:sz="0" w:space="0" w:color="auto"/>
        <w:left w:val="none" w:sz="0" w:space="0" w:color="auto"/>
        <w:bottom w:val="none" w:sz="0" w:space="0" w:color="auto"/>
        <w:right w:val="none" w:sz="0" w:space="0" w:color="auto"/>
      </w:divBdr>
    </w:div>
    <w:div w:id="1115977805">
      <w:bodyDiv w:val="1"/>
      <w:marLeft w:val="0"/>
      <w:marRight w:val="0"/>
      <w:marTop w:val="0"/>
      <w:marBottom w:val="0"/>
      <w:divBdr>
        <w:top w:val="none" w:sz="0" w:space="0" w:color="auto"/>
        <w:left w:val="none" w:sz="0" w:space="0" w:color="auto"/>
        <w:bottom w:val="none" w:sz="0" w:space="0" w:color="auto"/>
        <w:right w:val="none" w:sz="0" w:space="0" w:color="auto"/>
      </w:divBdr>
    </w:div>
    <w:div w:id="1244995419">
      <w:bodyDiv w:val="1"/>
      <w:marLeft w:val="0"/>
      <w:marRight w:val="0"/>
      <w:marTop w:val="0"/>
      <w:marBottom w:val="0"/>
      <w:divBdr>
        <w:top w:val="none" w:sz="0" w:space="0" w:color="auto"/>
        <w:left w:val="none" w:sz="0" w:space="0" w:color="auto"/>
        <w:bottom w:val="none" w:sz="0" w:space="0" w:color="auto"/>
        <w:right w:val="none" w:sz="0" w:space="0" w:color="auto"/>
      </w:divBdr>
    </w:div>
    <w:div w:id="1296376525">
      <w:bodyDiv w:val="1"/>
      <w:marLeft w:val="0"/>
      <w:marRight w:val="0"/>
      <w:marTop w:val="0"/>
      <w:marBottom w:val="0"/>
      <w:divBdr>
        <w:top w:val="none" w:sz="0" w:space="0" w:color="auto"/>
        <w:left w:val="none" w:sz="0" w:space="0" w:color="auto"/>
        <w:bottom w:val="none" w:sz="0" w:space="0" w:color="auto"/>
        <w:right w:val="none" w:sz="0" w:space="0" w:color="auto"/>
      </w:divBdr>
    </w:div>
    <w:div w:id="1313948970">
      <w:bodyDiv w:val="1"/>
      <w:marLeft w:val="0"/>
      <w:marRight w:val="0"/>
      <w:marTop w:val="0"/>
      <w:marBottom w:val="0"/>
      <w:divBdr>
        <w:top w:val="none" w:sz="0" w:space="0" w:color="auto"/>
        <w:left w:val="none" w:sz="0" w:space="0" w:color="auto"/>
        <w:bottom w:val="none" w:sz="0" w:space="0" w:color="auto"/>
        <w:right w:val="none" w:sz="0" w:space="0" w:color="auto"/>
      </w:divBdr>
    </w:div>
    <w:div w:id="1317225826">
      <w:bodyDiv w:val="1"/>
      <w:marLeft w:val="0"/>
      <w:marRight w:val="0"/>
      <w:marTop w:val="0"/>
      <w:marBottom w:val="0"/>
      <w:divBdr>
        <w:top w:val="none" w:sz="0" w:space="0" w:color="auto"/>
        <w:left w:val="none" w:sz="0" w:space="0" w:color="auto"/>
        <w:bottom w:val="none" w:sz="0" w:space="0" w:color="auto"/>
        <w:right w:val="none" w:sz="0" w:space="0" w:color="auto"/>
      </w:divBdr>
    </w:div>
    <w:div w:id="1328821191">
      <w:bodyDiv w:val="1"/>
      <w:marLeft w:val="0"/>
      <w:marRight w:val="0"/>
      <w:marTop w:val="0"/>
      <w:marBottom w:val="0"/>
      <w:divBdr>
        <w:top w:val="none" w:sz="0" w:space="0" w:color="auto"/>
        <w:left w:val="none" w:sz="0" w:space="0" w:color="auto"/>
        <w:bottom w:val="none" w:sz="0" w:space="0" w:color="auto"/>
        <w:right w:val="none" w:sz="0" w:space="0" w:color="auto"/>
      </w:divBdr>
    </w:div>
    <w:div w:id="1385257851">
      <w:bodyDiv w:val="1"/>
      <w:marLeft w:val="0"/>
      <w:marRight w:val="0"/>
      <w:marTop w:val="0"/>
      <w:marBottom w:val="0"/>
      <w:divBdr>
        <w:top w:val="none" w:sz="0" w:space="0" w:color="auto"/>
        <w:left w:val="none" w:sz="0" w:space="0" w:color="auto"/>
        <w:bottom w:val="none" w:sz="0" w:space="0" w:color="auto"/>
        <w:right w:val="none" w:sz="0" w:space="0" w:color="auto"/>
      </w:divBdr>
    </w:div>
    <w:div w:id="1420130528">
      <w:bodyDiv w:val="1"/>
      <w:marLeft w:val="0"/>
      <w:marRight w:val="0"/>
      <w:marTop w:val="0"/>
      <w:marBottom w:val="0"/>
      <w:divBdr>
        <w:top w:val="none" w:sz="0" w:space="0" w:color="auto"/>
        <w:left w:val="none" w:sz="0" w:space="0" w:color="auto"/>
        <w:bottom w:val="none" w:sz="0" w:space="0" w:color="auto"/>
        <w:right w:val="none" w:sz="0" w:space="0" w:color="auto"/>
      </w:divBdr>
    </w:div>
    <w:div w:id="1439326282">
      <w:bodyDiv w:val="1"/>
      <w:marLeft w:val="0"/>
      <w:marRight w:val="0"/>
      <w:marTop w:val="0"/>
      <w:marBottom w:val="0"/>
      <w:divBdr>
        <w:top w:val="none" w:sz="0" w:space="0" w:color="auto"/>
        <w:left w:val="none" w:sz="0" w:space="0" w:color="auto"/>
        <w:bottom w:val="none" w:sz="0" w:space="0" w:color="auto"/>
        <w:right w:val="none" w:sz="0" w:space="0" w:color="auto"/>
      </w:divBdr>
    </w:div>
    <w:div w:id="1481996915">
      <w:bodyDiv w:val="1"/>
      <w:marLeft w:val="0"/>
      <w:marRight w:val="0"/>
      <w:marTop w:val="0"/>
      <w:marBottom w:val="0"/>
      <w:divBdr>
        <w:top w:val="none" w:sz="0" w:space="0" w:color="auto"/>
        <w:left w:val="none" w:sz="0" w:space="0" w:color="auto"/>
        <w:bottom w:val="none" w:sz="0" w:space="0" w:color="auto"/>
        <w:right w:val="none" w:sz="0" w:space="0" w:color="auto"/>
      </w:divBdr>
    </w:div>
    <w:div w:id="1491674718">
      <w:bodyDiv w:val="1"/>
      <w:marLeft w:val="0"/>
      <w:marRight w:val="0"/>
      <w:marTop w:val="0"/>
      <w:marBottom w:val="0"/>
      <w:divBdr>
        <w:top w:val="none" w:sz="0" w:space="0" w:color="auto"/>
        <w:left w:val="none" w:sz="0" w:space="0" w:color="auto"/>
        <w:bottom w:val="none" w:sz="0" w:space="0" w:color="auto"/>
        <w:right w:val="none" w:sz="0" w:space="0" w:color="auto"/>
      </w:divBdr>
    </w:div>
    <w:div w:id="1510287406">
      <w:bodyDiv w:val="1"/>
      <w:marLeft w:val="0"/>
      <w:marRight w:val="0"/>
      <w:marTop w:val="0"/>
      <w:marBottom w:val="0"/>
      <w:divBdr>
        <w:top w:val="none" w:sz="0" w:space="0" w:color="auto"/>
        <w:left w:val="none" w:sz="0" w:space="0" w:color="auto"/>
        <w:bottom w:val="none" w:sz="0" w:space="0" w:color="auto"/>
        <w:right w:val="none" w:sz="0" w:space="0" w:color="auto"/>
      </w:divBdr>
    </w:div>
    <w:div w:id="1576015089">
      <w:bodyDiv w:val="1"/>
      <w:marLeft w:val="0"/>
      <w:marRight w:val="0"/>
      <w:marTop w:val="0"/>
      <w:marBottom w:val="0"/>
      <w:divBdr>
        <w:top w:val="none" w:sz="0" w:space="0" w:color="auto"/>
        <w:left w:val="none" w:sz="0" w:space="0" w:color="auto"/>
        <w:bottom w:val="none" w:sz="0" w:space="0" w:color="auto"/>
        <w:right w:val="none" w:sz="0" w:space="0" w:color="auto"/>
      </w:divBdr>
    </w:div>
    <w:div w:id="1577593022">
      <w:bodyDiv w:val="1"/>
      <w:marLeft w:val="0"/>
      <w:marRight w:val="0"/>
      <w:marTop w:val="0"/>
      <w:marBottom w:val="0"/>
      <w:divBdr>
        <w:top w:val="none" w:sz="0" w:space="0" w:color="auto"/>
        <w:left w:val="none" w:sz="0" w:space="0" w:color="auto"/>
        <w:bottom w:val="none" w:sz="0" w:space="0" w:color="auto"/>
        <w:right w:val="none" w:sz="0" w:space="0" w:color="auto"/>
      </w:divBdr>
    </w:div>
    <w:div w:id="1658268583">
      <w:bodyDiv w:val="1"/>
      <w:marLeft w:val="0"/>
      <w:marRight w:val="0"/>
      <w:marTop w:val="0"/>
      <w:marBottom w:val="0"/>
      <w:divBdr>
        <w:top w:val="none" w:sz="0" w:space="0" w:color="auto"/>
        <w:left w:val="none" w:sz="0" w:space="0" w:color="auto"/>
        <w:bottom w:val="none" w:sz="0" w:space="0" w:color="auto"/>
        <w:right w:val="none" w:sz="0" w:space="0" w:color="auto"/>
      </w:divBdr>
    </w:div>
    <w:div w:id="1676609606">
      <w:bodyDiv w:val="1"/>
      <w:marLeft w:val="0"/>
      <w:marRight w:val="0"/>
      <w:marTop w:val="0"/>
      <w:marBottom w:val="0"/>
      <w:divBdr>
        <w:top w:val="none" w:sz="0" w:space="0" w:color="auto"/>
        <w:left w:val="none" w:sz="0" w:space="0" w:color="auto"/>
        <w:bottom w:val="none" w:sz="0" w:space="0" w:color="auto"/>
        <w:right w:val="none" w:sz="0" w:space="0" w:color="auto"/>
      </w:divBdr>
    </w:div>
    <w:div w:id="1684090508">
      <w:bodyDiv w:val="1"/>
      <w:marLeft w:val="0"/>
      <w:marRight w:val="0"/>
      <w:marTop w:val="0"/>
      <w:marBottom w:val="0"/>
      <w:divBdr>
        <w:top w:val="none" w:sz="0" w:space="0" w:color="auto"/>
        <w:left w:val="none" w:sz="0" w:space="0" w:color="auto"/>
        <w:bottom w:val="none" w:sz="0" w:space="0" w:color="auto"/>
        <w:right w:val="none" w:sz="0" w:space="0" w:color="auto"/>
      </w:divBdr>
    </w:div>
    <w:div w:id="1722244302">
      <w:bodyDiv w:val="1"/>
      <w:marLeft w:val="0"/>
      <w:marRight w:val="0"/>
      <w:marTop w:val="0"/>
      <w:marBottom w:val="0"/>
      <w:divBdr>
        <w:top w:val="none" w:sz="0" w:space="0" w:color="auto"/>
        <w:left w:val="none" w:sz="0" w:space="0" w:color="auto"/>
        <w:bottom w:val="none" w:sz="0" w:space="0" w:color="auto"/>
        <w:right w:val="none" w:sz="0" w:space="0" w:color="auto"/>
      </w:divBdr>
    </w:div>
    <w:div w:id="1742632807">
      <w:bodyDiv w:val="1"/>
      <w:marLeft w:val="0"/>
      <w:marRight w:val="0"/>
      <w:marTop w:val="0"/>
      <w:marBottom w:val="0"/>
      <w:divBdr>
        <w:top w:val="none" w:sz="0" w:space="0" w:color="auto"/>
        <w:left w:val="none" w:sz="0" w:space="0" w:color="auto"/>
        <w:bottom w:val="none" w:sz="0" w:space="0" w:color="auto"/>
        <w:right w:val="none" w:sz="0" w:space="0" w:color="auto"/>
      </w:divBdr>
    </w:div>
    <w:div w:id="1831680158">
      <w:bodyDiv w:val="1"/>
      <w:marLeft w:val="0"/>
      <w:marRight w:val="0"/>
      <w:marTop w:val="0"/>
      <w:marBottom w:val="0"/>
      <w:divBdr>
        <w:top w:val="none" w:sz="0" w:space="0" w:color="auto"/>
        <w:left w:val="none" w:sz="0" w:space="0" w:color="auto"/>
        <w:bottom w:val="none" w:sz="0" w:space="0" w:color="auto"/>
        <w:right w:val="none" w:sz="0" w:space="0" w:color="auto"/>
      </w:divBdr>
    </w:div>
    <w:div w:id="1888910062">
      <w:bodyDiv w:val="1"/>
      <w:marLeft w:val="0"/>
      <w:marRight w:val="0"/>
      <w:marTop w:val="0"/>
      <w:marBottom w:val="0"/>
      <w:divBdr>
        <w:top w:val="none" w:sz="0" w:space="0" w:color="auto"/>
        <w:left w:val="none" w:sz="0" w:space="0" w:color="auto"/>
        <w:bottom w:val="none" w:sz="0" w:space="0" w:color="auto"/>
        <w:right w:val="none" w:sz="0" w:space="0" w:color="auto"/>
      </w:divBdr>
    </w:div>
    <w:div w:id="1936205445">
      <w:bodyDiv w:val="1"/>
      <w:marLeft w:val="0"/>
      <w:marRight w:val="0"/>
      <w:marTop w:val="0"/>
      <w:marBottom w:val="0"/>
      <w:divBdr>
        <w:top w:val="none" w:sz="0" w:space="0" w:color="auto"/>
        <w:left w:val="none" w:sz="0" w:space="0" w:color="auto"/>
        <w:bottom w:val="none" w:sz="0" w:space="0" w:color="auto"/>
        <w:right w:val="none" w:sz="0" w:space="0" w:color="auto"/>
      </w:divBdr>
    </w:div>
    <w:div w:id="1946839151">
      <w:bodyDiv w:val="1"/>
      <w:marLeft w:val="0"/>
      <w:marRight w:val="0"/>
      <w:marTop w:val="0"/>
      <w:marBottom w:val="0"/>
      <w:divBdr>
        <w:top w:val="none" w:sz="0" w:space="0" w:color="auto"/>
        <w:left w:val="none" w:sz="0" w:space="0" w:color="auto"/>
        <w:bottom w:val="none" w:sz="0" w:space="0" w:color="auto"/>
        <w:right w:val="none" w:sz="0" w:space="0" w:color="auto"/>
      </w:divBdr>
    </w:div>
    <w:div w:id="1947229990">
      <w:bodyDiv w:val="1"/>
      <w:marLeft w:val="0"/>
      <w:marRight w:val="0"/>
      <w:marTop w:val="0"/>
      <w:marBottom w:val="0"/>
      <w:divBdr>
        <w:top w:val="none" w:sz="0" w:space="0" w:color="auto"/>
        <w:left w:val="none" w:sz="0" w:space="0" w:color="auto"/>
        <w:bottom w:val="none" w:sz="0" w:space="0" w:color="auto"/>
        <w:right w:val="none" w:sz="0" w:space="0" w:color="auto"/>
      </w:divBdr>
    </w:div>
    <w:div w:id="1966036203">
      <w:bodyDiv w:val="1"/>
      <w:marLeft w:val="0"/>
      <w:marRight w:val="0"/>
      <w:marTop w:val="0"/>
      <w:marBottom w:val="0"/>
      <w:divBdr>
        <w:top w:val="none" w:sz="0" w:space="0" w:color="auto"/>
        <w:left w:val="none" w:sz="0" w:space="0" w:color="auto"/>
        <w:bottom w:val="none" w:sz="0" w:space="0" w:color="auto"/>
        <w:right w:val="none" w:sz="0" w:space="0" w:color="auto"/>
      </w:divBdr>
    </w:div>
    <w:div w:id="1986423599">
      <w:bodyDiv w:val="1"/>
      <w:marLeft w:val="0"/>
      <w:marRight w:val="0"/>
      <w:marTop w:val="0"/>
      <w:marBottom w:val="0"/>
      <w:divBdr>
        <w:top w:val="none" w:sz="0" w:space="0" w:color="auto"/>
        <w:left w:val="none" w:sz="0" w:space="0" w:color="auto"/>
        <w:bottom w:val="none" w:sz="0" w:space="0" w:color="auto"/>
        <w:right w:val="none" w:sz="0" w:space="0" w:color="auto"/>
      </w:divBdr>
    </w:div>
    <w:div w:id="1999114358">
      <w:bodyDiv w:val="1"/>
      <w:marLeft w:val="0"/>
      <w:marRight w:val="0"/>
      <w:marTop w:val="0"/>
      <w:marBottom w:val="0"/>
      <w:divBdr>
        <w:top w:val="none" w:sz="0" w:space="0" w:color="auto"/>
        <w:left w:val="none" w:sz="0" w:space="0" w:color="auto"/>
        <w:bottom w:val="none" w:sz="0" w:space="0" w:color="auto"/>
        <w:right w:val="none" w:sz="0" w:space="0" w:color="auto"/>
      </w:divBdr>
    </w:div>
    <w:div w:id="2080321270">
      <w:bodyDiv w:val="1"/>
      <w:marLeft w:val="0"/>
      <w:marRight w:val="0"/>
      <w:marTop w:val="0"/>
      <w:marBottom w:val="0"/>
      <w:divBdr>
        <w:top w:val="none" w:sz="0" w:space="0" w:color="auto"/>
        <w:left w:val="none" w:sz="0" w:space="0" w:color="auto"/>
        <w:bottom w:val="none" w:sz="0" w:space="0" w:color="auto"/>
        <w:right w:val="none" w:sz="0" w:space="0" w:color="auto"/>
      </w:divBdr>
    </w:div>
    <w:div w:id="2086679849">
      <w:bodyDiv w:val="1"/>
      <w:marLeft w:val="0"/>
      <w:marRight w:val="0"/>
      <w:marTop w:val="0"/>
      <w:marBottom w:val="0"/>
      <w:divBdr>
        <w:top w:val="none" w:sz="0" w:space="0" w:color="auto"/>
        <w:left w:val="none" w:sz="0" w:space="0" w:color="auto"/>
        <w:bottom w:val="none" w:sz="0" w:space="0" w:color="auto"/>
        <w:right w:val="none" w:sz="0" w:space="0" w:color="auto"/>
      </w:divBdr>
    </w:div>
    <w:div w:id="21286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yperlink" Target="https://www.elexon.co.uk/reference/performance-assurance/" TargetMode="Externa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Risk@elexon.co.uk" TargetMode="External"/><Relationship Id="rId25" Type="http://schemas.openxmlformats.org/officeDocument/2006/relationships/diagramColors" Target="diagrams/colors2.xm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2.xml"/><Relationship Id="rId32" Type="http://schemas.openxmlformats.org/officeDocument/2006/relationships/hyperlink" Target="file:///\\elexon\corp\BSC%20Operations\Customer%20Services\Market%20Compliance\Public\PAF%20Procedures%20-%20BSC%20Section%20Z%20Deliverables\ROP\ROP%202019_20\PAB216_09_B_Risk%20Operating%20Plan%202019_20%20Ledger%20v0.2.xlsx"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2.xm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www.elexon.co.uk/meeting/pab-215/"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diagramData" Target="diagrams/data2.xml"/><Relationship Id="rId27" Type="http://schemas.openxmlformats.org/officeDocument/2006/relationships/hyperlink" Target="https://www.elexon.co.uk/reference/performance-assurance/performance-assurance-techniques/" TargetMode="External"/><Relationship Id="rId30" Type="http://schemas.openxmlformats.org/officeDocument/2006/relationships/header" Target="header4.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elexon.co.uk/reference/market-compliance/performance-assurance/performance-assurance-processes/" TargetMode="External"/><Relationship Id="rId2" Type="http://schemas.openxmlformats.org/officeDocument/2006/relationships/hyperlink" Target="https://www.elexon.co.uk/consultation/73091/" TargetMode="External"/><Relationship Id="rId1" Type="http://schemas.openxmlformats.org/officeDocument/2006/relationships/hyperlink" Target="https://www.elexon.co.uk/reference/performance-assurance/performance-assurance-processes/performance-assurance-risk-evaluation-register/" TargetMode="External"/><Relationship Id="rId5" Type="http://schemas.openxmlformats.org/officeDocument/2006/relationships/hyperlink" Target="https://www.elexon.co.uk/reference/market-entry/sva-qualification/" TargetMode="External"/><Relationship Id="rId4" Type="http://schemas.openxmlformats.org/officeDocument/2006/relationships/hyperlink" Target="https://www.elexon.co.uk/bsc-and-codes/bsc-related-documents/bsc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28F37A-607C-4D39-848C-55388BB257C9}" type="doc">
      <dgm:prSet loTypeId="urn:microsoft.com/office/officeart/2009/layout/CircleArrowProcess" loCatId="cycle" qsTypeId="urn:microsoft.com/office/officeart/2005/8/quickstyle/simple1" qsCatId="simple" csTypeId="urn:microsoft.com/office/officeart/2005/8/colors/accent0_2" csCatId="mainScheme" phldr="1"/>
      <dgm:spPr/>
      <dgm:t>
        <a:bodyPr/>
        <a:lstStyle/>
        <a:p>
          <a:endParaRPr lang="en-US"/>
        </a:p>
      </dgm:t>
    </dgm:pt>
    <dgm:pt modelId="{A9D3C1DC-EB92-4927-9470-07C3EC8A0AC8}">
      <dgm:prSet phldrT="[Text]"/>
      <dgm:spPr>
        <a:xfrm>
          <a:off x="1538875" y="690005"/>
          <a:ext cx="1063678" cy="531784"/>
        </a:xfrm>
        <a:prstGeom prst="rect">
          <a:avLst/>
        </a:prstGeom>
        <a:noFill/>
        <a:ln>
          <a:noFill/>
        </a:ln>
        <a:effectLst/>
      </dgm:spPr>
      <dgm:t>
        <a:bodyPr/>
        <a:lstStyle/>
        <a:p>
          <a:pPr algn="ctr"/>
          <a:r>
            <a:rPr lang="en-US" dirty="0" smtClean="0">
              <a:solidFill>
                <a:sysClr val="windowText" lastClr="000000">
                  <a:hueOff val="0"/>
                  <a:satOff val="0"/>
                  <a:lumOff val="0"/>
                  <a:alphaOff val="0"/>
                </a:sysClr>
              </a:solidFill>
              <a:latin typeface="Tahoma"/>
              <a:ea typeface="+mn-ea"/>
              <a:cs typeface="+mn-cs"/>
            </a:rPr>
            <a:t>Evaluation methodology</a:t>
          </a:r>
          <a:endParaRPr lang="en-US" dirty="0">
            <a:solidFill>
              <a:sysClr val="windowText" lastClr="000000">
                <a:hueOff val="0"/>
                <a:satOff val="0"/>
                <a:lumOff val="0"/>
                <a:alphaOff val="0"/>
              </a:sysClr>
            </a:solidFill>
            <a:latin typeface="Tahoma"/>
            <a:ea typeface="+mn-ea"/>
            <a:cs typeface="+mn-cs"/>
          </a:endParaRPr>
        </a:p>
      </dgm:t>
    </dgm:pt>
    <dgm:pt modelId="{451DFEDF-89EE-4574-BBB2-A2BE817CC677}" type="parTrans" cxnId="{5A9910A6-907A-4B88-87E2-E42D13011823}">
      <dgm:prSet/>
      <dgm:spPr/>
      <dgm:t>
        <a:bodyPr/>
        <a:lstStyle/>
        <a:p>
          <a:pPr algn="ctr"/>
          <a:endParaRPr lang="en-US"/>
        </a:p>
      </dgm:t>
    </dgm:pt>
    <dgm:pt modelId="{C9712F6C-B2E4-4A50-93E5-B2DF9E19DA4C}" type="sibTrans" cxnId="{5A9910A6-907A-4B88-87E2-E42D13011823}">
      <dgm:prSet/>
      <dgm:spPr/>
      <dgm:t>
        <a:bodyPr/>
        <a:lstStyle/>
        <a:p>
          <a:pPr algn="ctr"/>
          <a:endParaRPr lang="en-US"/>
        </a:p>
      </dgm:t>
    </dgm:pt>
    <dgm:pt modelId="{C79EAA77-F9C3-4440-8C4B-80CED7AD8FA1}">
      <dgm:prSet phldrT="[Text]"/>
      <dgm:spPr>
        <a:xfrm>
          <a:off x="1007214" y="1787442"/>
          <a:ext cx="1063678" cy="531784"/>
        </a:xfrm>
        <a:prstGeom prst="rect">
          <a:avLst/>
        </a:prstGeom>
        <a:noFill/>
        <a:ln>
          <a:noFill/>
        </a:ln>
        <a:effectLst/>
      </dgm:spPr>
      <dgm:t>
        <a:bodyPr/>
        <a:lstStyle/>
        <a:p>
          <a:pPr algn="ctr"/>
          <a:r>
            <a:rPr lang="en-US" dirty="0" smtClean="0">
              <a:solidFill>
                <a:sysClr val="windowText" lastClr="000000">
                  <a:hueOff val="0"/>
                  <a:satOff val="0"/>
                  <a:lumOff val="0"/>
                  <a:alphaOff val="0"/>
                </a:sysClr>
              </a:solidFill>
              <a:latin typeface="Tahoma"/>
              <a:ea typeface="+mn-ea"/>
              <a:cs typeface="+mn-cs"/>
            </a:rPr>
            <a:t>Risk register</a:t>
          </a:r>
          <a:endParaRPr lang="en-US" dirty="0">
            <a:solidFill>
              <a:sysClr val="windowText" lastClr="000000">
                <a:hueOff val="0"/>
                <a:satOff val="0"/>
                <a:lumOff val="0"/>
                <a:alphaOff val="0"/>
              </a:sysClr>
            </a:solidFill>
            <a:latin typeface="Tahoma"/>
            <a:ea typeface="+mn-ea"/>
            <a:cs typeface="+mn-cs"/>
          </a:endParaRPr>
        </a:p>
      </dgm:t>
    </dgm:pt>
    <dgm:pt modelId="{4A0533FE-BF9C-405D-B521-18F84CEC0BE1}" type="parTrans" cxnId="{4A84F486-BFBE-43DE-9C1B-986730064B33}">
      <dgm:prSet/>
      <dgm:spPr/>
      <dgm:t>
        <a:bodyPr/>
        <a:lstStyle/>
        <a:p>
          <a:pPr algn="ctr"/>
          <a:endParaRPr lang="en-US"/>
        </a:p>
      </dgm:t>
    </dgm:pt>
    <dgm:pt modelId="{2C8A0597-79D9-4C10-A14C-C529BE915F52}" type="sibTrans" cxnId="{4A84F486-BFBE-43DE-9C1B-986730064B33}">
      <dgm:prSet/>
      <dgm:spPr/>
      <dgm:t>
        <a:bodyPr/>
        <a:lstStyle/>
        <a:p>
          <a:pPr algn="ctr"/>
          <a:endParaRPr lang="en-US"/>
        </a:p>
      </dgm:t>
    </dgm:pt>
    <dgm:pt modelId="{98A7747C-E5D4-498B-BE1E-D40AB805F76E}">
      <dgm:prSet phldrT="[Text]"/>
      <dgm:spPr>
        <a:xfrm>
          <a:off x="1007214" y="3982316"/>
          <a:ext cx="1063678" cy="531784"/>
        </a:xfrm>
        <a:prstGeom prst="rect">
          <a:avLst/>
        </a:prstGeom>
        <a:noFill/>
        <a:ln>
          <a:noFill/>
        </a:ln>
        <a:effectLst/>
      </dgm:spPr>
      <dgm:t>
        <a:bodyPr/>
        <a:lstStyle/>
        <a:p>
          <a:pPr algn="ctr"/>
          <a:r>
            <a:rPr lang="en-US" dirty="0" smtClean="0">
              <a:solidFill>
                <a:sysClr val="windowText" lastClr="000000">
                  <a:hueOff val="0"/>
                  <a:satOff val="0"/>
                  <a:lumOff val="0"/>
                  <a:alphaOff val="0"/>
                </a:sysClr>
              </a:solidFill>
              <a:latin typeface="Tahoma"/>
              <a:ea typeface="+mn-ea"/>
              <a:cs typeface="+mn-cs"/>
            </a:rPr>
            <a:t>Lessons learned</a:t>
          </a:r>
          <a:endParaRPr lang="en-US" dirty="0">
            <a:solidFill>
              <a:sysClr val="windowText" lastClr="000000">
                <a:hueOff val="0"/>
                <a:satOff val="0"/>
                <a:lumOff val="0"/>
                <a:alphaOff val="0"/>
              </a:sysClr>
            </a:solidFill>
            <a:latin typeface="Tahoma"/>
            <a:ea typeface="+mn-ea"/>
            <a:cs typeface="+mn-cs"/>
          </a:endParaRPr>
        </a:p>
      </dgm:t>
    </dgm:pt>
    <dgm:pt modelId="{B90D3830-5B85-4621-9344-1A9C5EE8B2C2}" type="parTrans" cxnId="{CEE3E857-BA8F-4D7F-ACA1-70105939DF86}">
      <dgm:prSet/>
      <dgm:spPr/>
      <dgm:t>
        <a:bodyPr/>
        <a:lstStyle/>
        <a:p>
          <a:pPr algn="ctr"/>
          <a:endParaRPr lang="en-US"/>
        </a:p>
      </dgm:t>
    </dgm:pt>
    <dgm:pt modelId="{2688AF2B-29D0-4B43-A744-E276009599CF}" type="sibTrans" cxnId="{CEE3E857-BA8F-4D7F-ACA1-70105939DF86}">
      <dgm:prSet/>
      <dgm:spPr/>
      <dgm:t>
        <a:bodyPr/>
        <a:lstStyle/>
        <a:p>
          <a:pPr algn="ctr"/>
          <a:endParaRPr lang="en-US"/>
        </a:p>
      </dgm:t>
    </dgm:pt>
    <dgm:pt modelId="{1DEDB0E3-AE0C-4479-9ABC-FEDE0D0683A1}">
      <dgm:prSet phldrT="[Text]"/>
      <dgm:spPr>
        <a:xfrm>
          <a:off x="1538875" y="2884879"/>
          <a:ext cx="1063678" cy="531784"/>
        </a:xfrm>
        <a:prstGeom prst="rect">
          <a:avLst/>
        </a:prstGeom>
        <a:noFill/>
        <a:ln>
          <a:noFill/>
        </a:ln>
        <a:effectLst/>
      </dgm:spPr>
      <dgm:t>
        <a:bodyPr/>
        <a:lstStyle/>
        <a:p>
          <a:pPr algn="ctr"/>
          <a:r>
            <a:rPr lang="en-US" dirty="0" smtClean="0">
              <a:solidFill>
                <a:sysClr val="windowText" lastClr="000000">
                  <a:hueOff val="0"/>
                  <a:satOff val="0"/>
                  <a:lumOff val="0"/>
                  <a:alphaOff val="0"/>
                </a:sysClr>
              </a:solidFill>
              <a:latin typeface="Tahoma"/>
              <a:ea typeface="+mn-ea"/>
              <a:cs typeface="+mn-cs"/>
            </a:rPr>
            <a:t>Operating plan</a:t>
          </a:r>
          <a:endParaRPr lang="en-US" dirty="0">
            <a:solidFill>
              <a:sysClr val="windowText" lastClr="000000">
                <a:hueOff val="0"/>
                <a:satOff val="0"/>
                <a:lumOff val="0"/>
                <a:alphaOff val="0"/>
              </a:sysClr>
            </a:solidFill>
            <a:latin typeface="Tahoma"/>
            <a:ea typeface="+mn-ea"/>
            <a:cs typeface="+mn-cs"/>
          </a:endParaRPr>
        </a:p>
      </dgm:t>
    </dgm:pt>
    <dgm:pt modelId="{CA789437-0095-41E0-B189-F9437404B87F}" type="parTrans" cxnId="{11C797C7-0BD8-4D23-88B3-A0D125209161}">
      <dgm:prSet/>
      <dgm:spPr/>
      <dgm:t>
        <a:bodyPr/>
        <a:lstStyle/>
        <a:p>
          <a:pPr algn="ctr"/>
          <a:endParaRPr lang="en-US"/>
        </a:p>
      </dgm:t>
    </dgm:pt>
    <dgm:pt modelId="{1FA3CAAC-7E82-4E5E-9FE7-9E2B4241CD84}" type="sibTrans" cxnId="{11C797C7-0BD8-4D23-88B3-A0D125209161}">
      <dgm:prSet/>
      <dgm:spPr/>
      <dgm:t>
        <a:bodyPr/>
        <a:lstStyle/>
        <a:p>
          <a:pPr algn="ctr"/>
          <a:endParaRPr lang="en-US"/>
        </a:p>
      </dgm:t>
    </dgm:pt>
    <dgm:pt modelId="{8536698E-FC44-4395-ABC2-CCE60C597644}" type="pres">
      <dgm:prSet presAssocID="{B728F37A-607C-4D39-848C-55388BB257C9}" presName="Name0" presStyleCnt="0">
        <dgm:presLayoutVars>
          <dgm:chMax val="7"/>
          <dgm:chPref val="7"/>
          <dgm:dir/>
          <dgm:animLvl val="lvl"/>
        </dgm:presLayoutVars>
      </dgm:prSet>
      <dgm:spPr/>
      <dgm:t>
        <a:bodyPr/>
        <a:lstStyle/>
        <a:p>
          <a:endParaRPr lang="en-US"/>
        </a:p>
      </dgm:t>
    </dgm:pt>
    <dgm:pt modelId="{FBEB7554-3194-46E9-92B1-35D7B4057194}" type="pres">
      <dgm:prSet presAssocID="{A9D3C1DC-EB92-4927-9470-07C3EC8A0AC8}" presName="Accent1" presStyleCnt="0"/>
      <dgm:spPr/>
    </dgm:pt>
    <dgm:pt modelId="{67084F2A-A564-44D1-AE9C-ABC797C5CBDD}" type="pres">
      <dgm:prSet presAssocID="{A9D3C1DC-EB92-4927-9470-07C3EC8A0AC8}" presName="Accent" presStyleLbl="node1" presStyleIdx="0" presStyleCnt="4"/>
      <dgm:spPr>
        <a:xfrm>
          <a:off x="1118051" y="0"/>
          <a:ext cx="1906040" cy="1906234"/>
        </a:xfrm>
        <a:prstGeom prst="circularArrow">
          <a:avLst>
            <a:gd name="adj1" fmla="val 10980"/>
            <a:gd name="adj2" fmla="val 1142322"/>
            <a:gd name="adj3" fmla="val 4500000"/>
            <a:gd name="adj4" fmla="val 10800000"/>
            <a:gd name="adj5" fmla="val 12500"/>
          </a:avLst>
        </a:prstGeom>
        <a:solidFill>
          <a:sysClr val="window" lastClr="FFFFFF">
            <a:hueOff val="0"/>
            <a:satOff val="0"/>
            <a:lumOff val="0"/>
            <a:alphaOff val="0"/>
          </a:sysClr>
        </a:solidFill>
        <a:ln w="25400" cap="flat" cmpd="sng" algn="ctr">
          <a:solidFill>
            <a:srgbClr val="0090AB">
              <a:shade val="80000"/>
              <a:hueOff val="0"/>
              <a:satOff val="0"/>
              <a:lumOff val="0"/>
              <a:alphaOff val="0"/>
            </a:srgbClr>
          </a:solidFill>
          <a:prstDash val="solid"/>
        </a:ln>
        <a:effectLst/>
      </dgm:spPr>
      <dgm:t>
        <a:bodyPr/>
        <a:lstStyle/>
        <a:p>
          <a:endParaRPr lang="en-US"/>
        </a:p>
      </dgm:t>
    </dgm:pt>
    <dgm:pt modelId="{BC8DAA95-EBFB-4628-83FD-BF8EBC9AB717}" type="pres">
      <dgm:prSet presAssocID="{A9D3C1DC-EB92-4927-9470-07C3EC8A0AC8}" presName="Parent1" presStyleLbl="revTx" presStyleIdx="0" presStyleCnt="4">
        <dgm:presLayoutVars>
          <dgm:chMax val="1"/>
          <dgm:chPref val="1"/>
          <dgm:bulletEnabled val="1"/>
        </dgm:presLayoutVars>
      </dgm:prSet>
      <dgm:spPr/>
      <dgm:t>
        <a:bodyPr/>
        <a:lstStyle/>
        <a:p>
          <a:endParaRPr lang="en-US"/>
        </a:p>
      </dgm:t>
    </dgm:pt>
    <dgm:pt modelId="{09367234-7778-431B-B806-D4D19720C842}" type="pres">
      <dgm:prSet presAssocID="{C79EAA77-F9C3-4440-8C4B-80CED7AD8FA1}" presName="Accent2" presStyleCnt="0"/>
      <dgm:spPr/>
    </dgm:pt>
    <dgm:pt modelId="{1D97405D-2364-473B-A15D-1ED243F6D8A6}" type="pres">
      <dgm:prSet presAssocID="{C79EAA77-F9C3-4440-8C4B-80CED7AD8FA1}" presName="Accent" presStyleLbl="node1" presStyleIdx="1" presStyleCnt="4"/>
      <dgm:spPr>
        <a:xfrm>
          <a:off x="588536" y="1095415"/>
          <a:ext cx="1906040" cy="1906234"/>
        </a:xfrm>
        <a:prstGeom prst="leftCircularArrow">
          <a:avLst>
            <a:gd name="adj1" fmla="val 10980"/>
            <a:gd name="adj2" fmla="val 1142322"/>
            <a:gd name="adj3" fmla="val 6300000"/>
            <a:gd name="adj4" fmla="val 18900000"/>
            <a:gd name="adj5" fmla="val 12500"/>
          </a:avLst>
        </a:prstGeom>
        <a:solidFill>
          <a:sysClr val="window" lastClr="FFFFFF">
            <a:hueOff val="0"/>
            <a:satOff val="0"/>
            <a:lumOff val="0"/>
            <a:alphaOff val="0"/>
          </a:sysClr>
        </a:solidFill>
        <a:ln w="25400" cap="flat" cmpd="sng" algn="ctr">
          <a:solidFill>
            <a:srgbClr val="0090AB">
              <a:shade val="80000"/>
              <a:hueOff val="0"/>
              <a:satOff val="0"/>
              <a:lumOff val="0"/>
              <a:alphaOff val="0"/>
            </a:srgbClr>
          </a:solidFill>
          <a:prstDash val="solid"/>
        </a:ln>
        <a:effectLst/>
      </dgm:spPr>
      <dgm:t>
        <a:bodyPr/>
        <a:lstStyle/>
        <a:p>
          <a:endParaRPr lang="en-US"/>
        </a:p>
      </dgm:t>
    </dgm:pt>
    <dgm:pt modelId="{B19C89D2-F043-4B30-A1CF-90404546A0A6}" type="pres">
      <dgm:prSet presAssocID="{C79EAA77-F9C3-4440-8C4B-80CED7AD8FA1}" presName="Parent2" presStyleLbl="revTx" presStyleIdx="1" presStyleCnt="4">
        <dgm:presLayoutVars>
          <dgm:chMax val="1"/>
          <dgm:chPref val="1"/>
          <dgm:bulletEnabled val="1"/>
        </dgm:presLayoutVars>
      </dgm:prSet>
      <dgm:spPr/>
      <dgm:t>
        <a:bodyPr/>
        <a:lstStyle/>
        <a:p>
          <a:endParaRPr lang="en-US"/>
        </a:p>
      </dgm:t>
    </dgm:pt>
    <dgm:pt modelId="{1062B855-777C-469B-A083-023F7838E82B}" type="pres">
      <dgm:prSet presAssocID="{1DEDB0E3-AE0C-4479-9ABC-FEDE0D0683A1}" presName="Accent3" presStyleCnt="0"/>
      <dgm:spPr/>
    </dgm:pt>
    <dgm:pt modelId="{8D775535-EE6E-4245-960E-F19E59969158}" type="pres">
      <dgm:prSet presAssocID="{1DEDB0E3-AE0C-4479-9ABC-FEDE0D0683A1}" presName="Accent" presStyleLbl="node1" presStyleIdx="2" presStyleCnt="4"/>
      <dgm:spPr>
        <a:xfrm>
          <a:off x="1118051" y="2194874"/>
          <a:ext cx="1906040" cy="1906234"/>
        </a:xfrm>
        <a:prstGeom prst="circularArrow">
          <a:avLst>
            <a:gd name="adj1" fmla="val 10980"/>
            <a:gd name="adj2" fmla="val 1142322"/>
            <a:gd name="adj3" fmla="val 4500000"/>
            <a:gd name="adj4" fmla="val 13500000"/>
            <a:gd name="adj5" fmla="val 12500"/>
          </a:avLst>
        </a:prstGeom>
        <a:solidFill>
          <a:sysClr val="window" lastClr="FFFFFF">
            <a:hueOff val="0"/>
            <a:satOff val="0"/>
            <a:lumOff val="0"/>
            <a:alphaOff val="0"/>
          </a:sysClr>
        </a:solidFill>
        <a:ln w="25400" cap="flat" cmpd="sng" algn="ctr">
          <a:solidFill>
            <a:srgbClr val="0090AB">
              <a:shade val="80000"/>
              <a:hueOff val="0"/>
              <a:satOff val="0"/>
              <a:lumOff val="0"/>
              <a:alphaOff val="0"/>
            </a:srgbClr>
          </a:solidFill>
          <a:prstDash val="solid"/>
        </a:ln>
        <a:effectLst/>
      </dgm:spPr>
      <dgm:t>
        <a:bodyPr/>
        <a:lstStyle/>
        <a:p>
          <a:endParaRPr lang="en-US"/>
        </a:p>
      </dgm:t>
    </dgm:pt>
    <dgm:pt modelId="{FF53221A-6F81-4870-92FC-2A05D3443EA9}" type="pres">
      <dgm:prSet presAssocID="{1DEDB0E3-AE0C-4479-9ABC-FEDE0D0683A1}" presName="Parent3" presStyleLbl="revTx" presStyleIdx="2" presStyleCnt="4">
        <dgm:presLayoutVars>
          <dgm:chMax val="1"/>
          <dgm:chPref val="1"/>
          <dgm:bulletEnabled val="1"/>
        </dgm:presLayoutVars>
      </dgm:prSet>
      <dgm:spPr/>
      <dgm:t>
        <a:bodyPr/>
        <a:lstStyle/>
        <a:p>
          <a:endParaRPr lang="en-US"/>
        </a:p>
      </dgm:t>
    </dgm:pt>
    <dgm:pt modelId="{7642CE2C-E7B8-4CD3-99CD-743CBE30860C}" type="pres">
      <dgm:prSet presAssocID="{98A7747C-E5D4-498B-BE1E-D40AB805F76E}" presName="Accent4" presStyleCnt="0"/>
      <dgm:spPr/>
    </dgm:pt>
    <dgm:pt modelId="{130BEFC2-820C-49A0-A97B-C783F6856BE9}" type="pres">
      <dgm:prSet presAssocID="{98A7747C-E5D4-498B-BE1E-D40AB805F76E}" presName="Accent" presStyleLbl="node1" presStyleIdx="3" presStyleCnt="4"/>
      <dgm:spPr>
        <a:xfrm>
          <a:off x="724401" y="3416663"/>
          <a:ext cx="1637528" cy="1638320"/>
        </a:xfrm>
        <a:prstGeom prst="blockArc">
          <a:avLst>
            <a:gd name="adj1" fmla="val 0"/>
            <a:gd name="adj2" fmla="val 18900000"/>
            <a:gd name="adj3" fmla="val 12740"/>
          </a:avLst>
        </a:prstGeom>
        <a:solidFill>
          <a:sysClr val="window" lastClr="FFFFFF">
            <a:hueOff val="0"/>
            <a:satOff val="0"/>
            <a:lumOff val="0"/>
            <a:alphaOff val="0"/>
          </a:sysClr>
        </a:solidFill>
        <a:ln w="25400" cap="flat" cmpd="sng" algn="ctr">
          <a:solidFill>
            <a:srgbClr val="0090AB">
              <a:shade val="80000"/>
              <a:hueOff val="0"/>
              <a:satOff val="0"/>
              <a:lumOff val="0"/>
              <a:alphaOff val="0"/>
            </a:srgbClr>
          </a:solidFill>
          <a:prstDash val="solid"/>
        </a:ln>
        <a:effectLst/>
      </dgm:spPr>
      <dgm:t>
        <a:bodyPr/>
        <a:lstStyle/>
        <a:p>
          <a:endParaRPr lang="en-US"/>
        </a:p>
      </dgm:t>
    </dgm:pt>
    <dgm:pt modelId="{B48C8489-08D0-46F0-9C1A-A7C7CF7D2153}" type="pres">
      <dgm:prSet presAssocID="{98A7747C-E5D4-498B-BE1E-D40AB805F76E}" presName="Parent4" presStyleLbl="revTx" presStyleIdx="3" presStyleCnt="4">
        <dgm:presLayoutVars>
          <dgm:chMax val="1"/>
          <dgm:chPref val="1"/>
          <dgm:bulletEnabled val="1"/>
        </dgm:presLayoutVars>
      </dgm:prSet>
      <dgm:spPr/>
      <dgm:t>
        <a:bodyPr/>
        <a:lstStyle/>
        <a:p>
          <a:endParaRPr lang="en-US"/>
        </a:p>
      </dgm:t>
    </dgm:pt>
  </dgm:ptLst>
  <dgm:cxnLst>
    <dgm:cxn modelId="{CEE3E857-BA8F-4D7F-ACA1-70105939DF86}" srcId="{B728F37A-607C-4D39-848C-55388BB257C9}" destId="{98A7747C-E5D4-498B-BE1E-D40AB805F76E}" srcOrd="3" destOrd="0" parTransId="{B90D3830-5B85-4621-9344-1A9C5EE8B2C2}" sibTransId="{2688AF2B-29D0-4B43-A744-E276009599CF}"/>
    <dgm:cxn modelId="{4A84F486-BFBE-43DE-9C1B-986730064B33}" srcId="{B728F37A-607C-4D39-848C-55388BB257C9}" destId="{C79EAA77-F9C3-4440-8C4B-80CED7AD8FA1}" srcOrd="1" destOrd="0" parTransId="{4A0533FE-BF9C-405D-B521-18F84CEC0BE1}" sibTransId="{2C8A0597-79D9-4C10-A14C-C529BE915F52}"/>
    <dgm:cxn modelId="{36A610FF-7D8C-409A-A8B6-39166D545905}" type="presOf" srcId="{C79EAA77-F9C3-4440-8C4B-80CED7AD8FA1}" destId="{B19C89D2-F043-4B30-A1CF-90404546A0A6}" srcOrd="0" destOrd="0" presId="urn:microsoft.com/office/officeart/2009/layout/CircleArrowProcess"/>
    <dgm:cxn modelId="{5A9910A6-907A-4B88-87E2-E42D13011823}" srcId="{B728F37A-607C-4D39-848C-55388BB257C9}" destId="{A9D3C1DC-EB92-4927-9470-07C3EC8A0AC8}" srcOrd="0" destOrd="0" parTransId="{451DFEDF-89EE-4574-BBB2-A2BE817CC677}" sibTransId="{C9712F6C-B2E4-4A50-93E5-B2DF9E19DA4C}"/>
    <dgm:cxn modelId="{80CBF5AD-CCA7-4220-A579-7B466C9722CB}" type="presOf" srcId="{A9D3C1DC-EB92-4927-9470-07C3EC8A0AC8}" destId="{BC8DAA95-EBFB-4628-83FD-BF8EBC9AB717}" srcOrd="0" destOrd="0" presId="urn:microsoft.com/office/officeart/2009/layout/CircleArrowProcess"/>
    <dgm:cxn modelId="{9B3CE51E-DB9C-4B44-A9A7-696827040977}" type="presOf" srcId="{1DEDB0E3-AE0C-4479-9ABC-FEDE0D0683A1}" destId="{FF53221A-6F81-4870-92FC-2A05D3443EA9}" srcOrd="0" destOrd="0" presId="urn:microsoft.com/office/officeart/2009/layout/CircleArrowProcess"/>
    <dgm:cxn modelId="{9274583B-1DD8-42EC-ABEE-F181C27D2ACD}" type="presOf" srcId="{98A7747C-E5D4-498B-BE1E-D40AB805F76E}" destId="{B48C8489-08D0-46F0-9C1A-A7C7CF7D2153}" srcOrd="0" destOrd="0" presId="urn:microsoft.com/office/officeart/2009/layout/CircleArrowProcess"/>
    <dgm:cxn modelId="{819EBB7E-752E-49F3-82AF-ED2E18A846FC}" type="presOf" srcId="{B728F37A-607C-4D39-848C-55388BB257C9}" destId="{8536698E-FC44-4395-ABC2-CCE60C597644}" srcOrd="0" destOrd="0" presId="urn:microsoft.com/office/officeart/2009/layout/CircleArrowProcess"/>
    <dgm:cxn modelId="{11C797C7-0BD8-4D23-88B3-A0D125209161}" srcId="{B728F37A-607C-4D39-848C-55388BB257C9}" destId="{1DEDB0E3-AE0C-4479-9ABC-FEDE0D0683A1}" srcOrd="2" destOrd="0" parTransId="{CA789437-0095-41E0-B189-F9437404B87F}" sibTransId="{1FA3CAAC-7E82-4E5E-9FE7-9E2B4241CD84}"/>
    <dgm:cxn modelId="{3C7050AE-6D92-4C22-86BA-E01E9136EA7A}" type="presParOf" srcId="{8536698E-FC44-4395-ABC2-CCE60C597644}" destId="{FBEB7554-3194-46E9-92B1-35D7B4057194}" srcOrd="0" destOrd="0" presId="urn:microsoft.com/office/officeart/2009/layout/CircleArrowProcess"/>
    <dgm:cxn modelId="{6396FB6A-6E97-46F2-A92C-89606D31AB04}" type="presParOf" srcId="{FBEB7554-3194-46E9-92B1-35D7B4057194}" destId="{67084F2A-A564-44D1-AE9C-ABC797C5CBDD}" srcOrd="0" destOrd="0" presId="urn:microsoft.com/office/officeart/2009/layout/CircleArrowProcess"/>
    <dgm:cxn modelId="{C83A5DE3-D7D2-4885-AA3A-B7CEE053DBA3}" type="presParOf" srcId="{8536698E-FC44-4395-ABC2-CCE60C597644}" destId="{BC8DAA95-EBFB-4628-83FD-BF8EBC9AB717}" srcOrd="1" destOrd="0" presId="urn:microsoft.com/office/officeart/2009/layout/CircleArrowProcess"/>
    <dgm:cxn modelId="{74C7540C-07D4-4BE9-BE4E-AF6870494EBA}" type="presParOf" srcId="{8536698E-FC44-4395-ABC2-CCE60C597644}" destId="{09367234-7778-431B-B806-D4D19720C842}" srcOrd="2" destOrd="0" presId="urn:microsoft.com/office/officeart/2009/layout/CircleArrowProcess"/>
    <dgm:cxn modelId="{D212F15A-DAFA-48FF-A04B-BCD4C8A7F033}" type="presParOf" srcId="{09367234-7778-431B-B806-D4D19720C842}" destId="{1D97405D-2364-473B-A15D-1ED243F6D8A6}" srcOrd="0" destOrd="0" presId="urn:microsoft.com/office/officeart/2009/layout/CircleArrowProcess"/>
    <dgm:cxn modelId="{59AB0083-E4DD-4FFD-B42B-19E178EC816A}" type="presParOf" srcId="{8536698E-FC44-4395-ABC2-CCE60C597644}" destId="{B19C89D2-F043-4B30-A1CF-90404546A0A6}" srcOrd="3" destOrd="0" presId="urn:microsoft.com/office/officeart/2009/layout/CircleArrowProcess"/>
    <dgm:cxn modelId="{73E1EF63-77BE-42B1-B661-D322AE930A55}" type="presParOf" srcId="{8536698E-FC44-4395-ABC2-CCE60C597644}" destId="{1062B855-777C-469B-A083-023F7838E82B}" srcOrd="4" destOrd="0" presId="urn:microsoft.com/office/officeart/2009/layout/CircleArrowProcess"/>
    <dgm:cxn modelId="{6B79A8D1-8CA0-4A24-BBCE-7B93326C36F6}" type="presParOf" srcId="{1062B855-777C-469B-A083-023F7838E82B}" destId="{8D775535-EE6E-4245-960E-F19E59969158}" srcOrd="0" destOrd="0" presId="urn:microsoft.com/office/officeart/2009/layout/CircleArrowProcess"/>
    <dgm:cxn modelId="{96C6703E-4FDE-4AF9-B816-87ADB100381A}" type="presParOf" srcId="{8536698E-FC44-4395-ABC2-CCE60C597644}" destId="{FF53221A-6F81-4870-92FC-2A05D3443EA9}" srcOrd="5" destOrd="0" presId="urn:microsoft.com/office/officeart/2009/layout/CircleArrowProcess"/>
    <dgm:cxn modelId="{20F72B8F-41F0-4005-BEA0-26A52DA26C68}" type="presParOf" srcId="{8536698E-FC44-4395-ABC2-CCE60C597644}" destId="{7642CE2C-E7B8-4CD3-99CD-743CBE30860C}" srcOrd="6" destOrd="0" presId="urn:microsoft.com/office/officeart/2009/layout/CircleArrowProcess"/>
    <dgm:cxn modelId="{4C78FAE8-F26B-471A-B565-8A93E7AC25D8}" type="presParOf" srcId="{7642CE2C-E7B8-4CD3-99CD-743CBE30860C}" destId="{130BEFC2-820C-49A0-A97B-C783F6856BE9}" srcOrd="0" destOrd="0" presId="urn:microsoft.com/office/officeart/2009/layout/CircleArrowProcess"/>
    <dgm:cxn modelId="{875588B8-5995-4496-BCA1-5F73067F7C3D}" type="presParOf" srcId="{8536698E-FC44-4395-ABC2-CCE60C597644}" destId="{B48C8489-08D0-46F0-9C1A-A7C7CF7D2153}" srcOrd="7" destOrd="0" presId="urn:microsoft.com/office/officeart/2009/layout/CircleArrow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9E0F33-D15C-4F20-A451-2E591979DFE3}" type="doc">
      <dgm:prSet loTypeId="urn:microsoft.com/office/officeart/2005/8/layout/arrow4" loCatId="relationship" qsTypeId="urn:microsoft.com/office/officeart/2005/8/quickstyle/simple1" qsCatId="simple" csTypeId="urn:microsoft.com/office/officeart/2005/8/colors/accent1_2" csCatId="accent1" phldr="1"/>
      <dgm:spPr/>
      <dgm:t>
        <a:bodyPr/>
        <a:lstStyle/>
        <a:p>
          <a:endParaRPr lang="en-US"/>
        </a:p>
      </dgm:t>
    </dgm:pt>
    <dgm:pt modelId="{6FA3CFF4-F096-40CE-A33B-17DB08DEEAD6}">
      <dgm:prSet phldrT="[Text]" custT="1"/>
      <dgm:spPr/>
      <dgm:t>
        <a:bodyPr/>
        <a:lstStyle/>
        <a:p>
          <a:r>
            <a:rPr lang="en-US" sz="1200" dirty="0" smtClean="0"/>
            <a:t>Risk Volatility increase (Total upper impact up £37k)</a:t>
          </a:r>
          <a:endParaRPr lang="en-US" sz="1200" dirty="0"/>
        </a:p>
      </dgm:t>
    </dgm:pt>
    <dgm:pt modelId="{054248CF-2EED-42DD-8245-E1A7548AD21D}" type="parTrans" cxnId="{73553A44-E0F0-49B3-BE66-4ED6AD182122}">
      <dgm:prSet/>
      <dgm:spPr/>
      <dgm:t>
        <a:bodyPr/>
        <a:lstStyle/>
        <a:p>
          <a:endParaRPr lang="en-US"/>
        </a:p>
      </dgm:t>
    </dgm:pt>
    <dgm:pt modelId="{D65600EC-74AA-4391-98B5-9B7D618C694F}" type="sibTrans" cxnId="{73553A44-E0F0-49B3-BE66-4ED6AD182122}">
      <dgm:prSet/>
      <dgm:spPr/>
      <dgm:t>
        <a:bodyPr/>
        <a:lstStyle/>
        <a:p>
          <a:endParaRPr lang="en-US"/>
        </a:p>
      </dgm:t>
    </dgm:pt>
    <dgm:pt modelId="{B8E8D188-F525-4A50-B181-C630A6AB5E6A}">
      <dgm:prSet phldrT="[Text]" custT="1"/>
      <dgm:spPr/>
      <dgm:t>
        <a:bodyPr/>
        <a:lstStyle/>
        <a:p>
          <a:r>
            <a:rPr lang="en-US" sz="1200" dirty="0" smtClean="0"/>
            <a:t>Risk Impact decrease (Total Risk Impact down £21.8m)</a:t>
          </a:r>
          <a:endParaRPr lang="en-US" sz="1200" dirty="0"/>
        </a:p>
      </dgm:t>
    </dgm:pt>
    <dgm:pt modelId="{5DC5399F-9FB2-4505-BE21-2512B32BBE8E}" type="parTrans" cxnId="{CCDB141E-690A-4670-AAAE-B240E09CC664}">
      <dgm:prSet/>
      <dgm:spPr/>
      <dgm:t>
        <a:bodyPr/>
        <a:lstStyle/>
        <a:p>
          <a:endParaRPr lang="en-US"/>
        </a:p>
      </dgm:t>
    </dgm:pt>
    <dgm:pt modelId="{F5DB2502-8DE5-42A2-A917-BA241A022AD3}" type="sibTrans" cxnId="{CCDB141E-690A-4670-AAAE-B240E09CC664}">
      <dgm:prSet/>
      <dgm:spPr/>
      <dgm:t>
        <a:bodyPr/>
        <a:lstStyle/>
        <a:p>
          <a:endParaRPr lang="en-US"/>
        </a:p>
      </dgm:t>
    </dgm:pt>
    <dgm:pt modelId="{71A7E221-838C-4FBE-9081-775E25C5861D}" type="pres">
      <dgm:prSet presAssocID="{679E0F33-D15C-4F20-A451-2E591979DFE3}" presName="compositeShape" presStyleCnt="0">
        <dgm:presLayoutVars>
          <dgm:chMax val="2"/>
          <dgm:dir/>
          <dgm:resizeHandles val="exact"/>
        </dgm:presLayoutVars>
      </dgm:prSet>
      <dgm:spPr/>
      <dgm:t>
        <a:bodyPr/>
        <a:lstStyle/>
        <a:p>
          <a:endParaRPr lang="en-US"/>
        </a:p>
      </dgm:t>
    </dgm:pt>
    <dgm:pt modelId="{C0B8C548-F8C5-4101-A96C-119B0590C0DE}" type="pres">
      <dgm:prSet presAssocID="{6FA3CFF4-F096-40CE-A33B-17DB08DEEAD6}" presName="upArrow" presStyleLbl="node1" presStyleIdx="0" presStyleCnt="2"/>
      <dgm:spPr/>
    </dgm:pt>
    <dgm:pt modelId="{7137D445-B0CA-4A3F-AD0E-CC4528217177}" type="pres">
      <dgm:prSet presAssocID="{6FA3CFF4-F096-40CE-A33B-17DB08DEEAD6}" presName="upArrowText" presStyleLbl="revTx" presStyleIdx="0" presStyleCnt="2">
        <dgm:presLayoutVars>
          <dgm:chMax val="0"/>
          <dgm:bulletEnabled val="1"/>
        </dgm:presLayoutVars>
      </dgm:prSet>
      <dgm:spPr/>
      <dgm:t>
        <a:bodyPr/>
        <a:lstStyle/>
        <a:p>
          <a:endParaRPr lang="en-US"/>
        </a:p>
      </dgm:t>
    </dgm:pt>
    <dgm:pt modelId="{051928FC-60E4-4EC3-BAEB-AA892A48C7A0}" type="pres">
      <dgm:prSet presAssocID="{B8E8D188-F525-4A50-B181-C630A6AB5E6A}" presName="downArrow" presStyleLbl="node1" presStyleIdx="1" presStyleCnt="2"/>
      <dgm:spPr/>
    </dgm:pt>
    <dgm:pt modelId="{2463C5D6-6CAA-48EC-A4EE-968B01F6042B}" type="pres">
      <dgm:prSet presAssocID="{B8E8D188-F525-4A50-B181-C630A6AB5E6A}" presName="downArrowText" presStyleLbl="revTx" presStyleIdx="1" presStyleCnt="2" custScaleX="105903" custLinFactNeighborX="3571" custLinFactNeighborY="-1080">
        <dgm:presLayoutVars>
          <dgm:chMax val="0"/>
          <dgm:bulletEnabled val="1"/>
        </dgm:presLayoutVars>
      </dgm:prSet>
      <dgm:spPr/>
      <dgm:t>
        <a:bodyPr/>
        <a:lstStyle/>
        <a:p>
          <a:endParaRPr lang="en-US"/>
        </a:p>
      </dgm:t>
    </dgm:pt>
  </dgm:ptLst>
  <dgm:cxnLst>
    <dgm:cxn modelId="{DAD11508-C5AC-4193-9AE4-9E9721213772}" type="presOf" srcId="{B8E8D188-F525-4A50-B181-C630A6AB5E6A}" destId="{2463C5D6-6CAA-48EC-A4EE-968B01F6042B}" srcOrd="0" destOrd="0" presId="urn:microsoft.com/office/officeart/2005/8/layout/arrow4"/>
    <dgm:cxn modelId="{D68A67D5-939C-4BD8-BB0D-363A517F4155}" type="presOf" srcId="{679E0F33-D15C-4F20-A451-2E591979DFE3}" destId="{71A7E221-838C-4FBE-9081-775E25C5861D}" srcOrd="0" destOrd="0" presId="urn:microsoft.com/office/officeart/2005/8/layout/arrow4"/>
    <dgm:cxn modelId="{CCDB141E-690A-4670-AAAE-B240E09CC664}" srcId="{679E0F33-D15C-4F20-A451-2E591979DFE3}" destId="{B8E8D188-F525-4A50-B181-C630A6AB5E6A}" srcOrd="1" destOrd="0" parTransId="{5DC5399F-9FB2-4505-BE21-2512B32BBE8E}" sibTransId="{F5DB2502-8DE5-42A2-A917-BA241A022AD3}"/>
    <dgm:cxn modelId="{73553A44-E0F0-49B3-BE66-4ED6AD182122}" srcId="{679E0F33-D15C-4F20-A451-2E591979DFE3}" destId="{6FA3CFF4-F096-40CE-A33B-17DB08DEEAD6}" srcOrd="0" destOrd="0" parTransId="{054248CF-2EED-42DD-8245-E1A7548AD21D}" sibTransId="{D65600EC-74AA-4391-98B5-9B7D618C694F}"/>
    <dgm:cxn modelId="{48A71A5A-6AB2-4BC1-B673-1EE931DB53D5}" type="presOf" srcId="{6FA3CFF4-F096-40CE-A33B-17DB08DEEAD6}" destId="{7137D445-B0CA-4A3F-AD0E-CC4528217177}" srcOrd="0" destOrd="0" presId="urn:microsoft.com/office/officeart/2005/8/layout/arrow4"/>
    <dgm:cxn modelId="{DE0F8DEC-2FDF-448B-A02B-CDF66CF65C1D}" type="presParOf" srcId="{71A7E221-838C-4FBE-9081-775E25C5861D}" destId="{C0B8C548-F8C5-4101-A96C-119B0590C0DE}" srcOrd="0" destOrd="0" presId="urn:microsoft.com/office/officeart/2005/8/layout/arrow4"/>
    <dgm:cxn modelId="{1816677B-25CA-470B-B09A-5D97A791E428}" type="presParOf" srcId="{71A7E221-838C-4FBE-9081-775E25C5861D}" destId="{7137D445-B0CA-4A3F-AD0E-CC4528217177}" srcOrd="1" destOrd="0" presId="urn:microsoft.com/office/officeart/2005/8/layout/arrow4"/>
    <dgm:cxn modelId="{CBC2D8DF-4AF9-47CE-BAC2-C6B52DEBD9E6}" type="presParOf" srcId="{71A7E221-838C-4FBE-9081-775E25C5861D}" destId="{051928FC-60E4-4EC3-BAEB-AA892A48C7A0}" srcOrd="2" destOrd="0" presId="urn:microsoft.com/office/officeart/2005/8/layout/arrow4"/>
    <dgm:cxn modelId="{F19EFB8A-572C-450E-A8A6-7D5EF888CAE6}" type="presParOf" srcId="{71A7E221-838C-4FBE-9081-775E25C5861D}" destId="{2463C5D6-6CAA-48EC-A4EE-968B01F6042B}" srcOrd="3" destOrd="0" presId="urn:microsoft.com/office/officeart/2005/8/layout/arrow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084F2A-A564-44D1-AE9C-ABC797C5CBDD}">
      <dsp:nvSpPr>
        <dsp:cNvPr id="0" name=""/>
        <dsp:cNvSpPr/>
      </dsp:nvSpPr>
      <dsp:spPr>
        <a:xfrm>
          <a:off x="883683" y="0"/>
          <a:ext cx="1086552" cy="1086662"/>
        </a:xfrm>
        <a:prstGeom prst="circularArrow">
          <a:avLst>
            <a:gd name="adj1" fmla="val 10980"/>
            <a:gd name="adj2" fmla="val 1142322"/>
            <a:gd name="adj3" fmla="val 4500000"/>
            <a:gd name="adj4" fmla="val 10800000"/>
            <a:gd name="adj5" fmla="val 12500"/>
          </a:avLst>
        </a:prstGeom>
        <a:solidFill>
          <a:sysClr val="window" lastClr="FFFFFF">
            <a:hueOff val="0"/>
            <a:satOff val="0"/>
            <a:lumOff val="0"/>
            <a:alphaOff val="0"/>
          </a:sysClr>
        </a:solidFill>
        <a:ln w="25400" cap="flat" cmpd="sng" algn="ctr">
          <a:solidFill>
            <a:srgbClr val="0090AB">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C8DAA95-EBFB-4628-83FD-BF8EBC9AB717}">
      <dsp:nvSpPr>
        <dsp:cNvPr id="0" name=""/>
        <dsp:cNvSpPr/>
      </dsp:nvSpPr>
      <dsp:spPr>
        <a:xfrm>
          <a:off x="1123576" y="393342"/>
          <a:ext cx="606357" cy="303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hueOff val="0"/>
                  <a:satOff val="0"/>
                  <a:lumOff val="0"/>
                  <a:alphaOff val="0"/>
                </a:sysClr>
              </a:solidFill>
              <a:latin typeface="Tahoma"/>
              <a:ea typeface="+mn-ea"/>
              <a:cs typeface="+mn-cs"/>
            </a:rPr>
            <a:t>Evaluation methodology</a:t>
          </a:r>
          <a:endParaRPr lang="en-US" sz="800" kern="1200" dirty="0">
            <a:solidFill>
              <a:sysClr val="windowText" lastClr="000000">
                <a:hueOff val="0"/>
                <a:satOff val="0"/>
                <a:lumOff val="0"/>
                <a:alphaOff val="0"/>
              </a:sysClr>
            </a:solidFill>
            <a:latin typeface="Tahoma"/>
            <a:ea typeface="+mn-ea"/>
            <a:cs typeface="+mn-cs"/>
          </a:endParaRPr>
        </a:p>
      </dsp:txBody>
      <dsp:txXfrm>
        <a:off x="1123576" y="393342"/>
        <a:ext cx="606357" cy="303147"/>
      </dsp:txXfrm>
    </dsp:sp>
    <dsp:sp modelId="{1D97405D-2364-473B-A15D-1ED243F6D8A6}">
      <dsp:nvSpPr>
        <dsp:cNvPr id="0" name=""/>
        <dsp:cNvSpPr/>
      </dsp:nvSpPr>
      <dsp:spPr>
        <a:xfrm>
          <a:off x="581829" y="624449"/>
          <a:ext cx="1086552" cy="1086662"/>
        </a:xfrm>
        <a:prstGeom prst="leftCircularArrow">
          <a:avLst>
            <a:gd name="adj1" fmla="val 10980"/>
            <a:gd name="adj2" fmla="val 1142322"/>
            <a:gd name="adj3" fmla="val 6300000"/>
            <a:gd name="adj4" fmla="val 18900000"/>
            <a:gd name="adj5" fmla="val 12500"/>
          </a:avLst>
        </a:prstGeom>
        <a:solidFill>
          <a:sysClr val="window" lastClr="FFFFFF">
            <a:hueOff val="0"/>
            <a:satOff val="0"/>
            <a:lumOff val="0"/>
            <a:alphaOff val="0"/>
          </a:sysClr>
        </a:solidFill>
        <a:ln w="25400" cap="flat" cmpd="sng" algn="ctr">
          <a:solidFill>
            <a:srgbClr val="0090AB">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19C89D2-F043-4B30-A1CF-90404546A0A6}">
      <dsp:nvSpPr>
        <dsp:cNvPr id="0" name=""/>
        <dsp:cNvSpPr/>
      </dsp:nvSpPr>
      <dsp:spPr>
        <a:xfrm>
          <a:off x="820499" y="1018944"/>
          <a:ext cx="606357" cy="303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hueOff val="0"/>
                  <a:satOff val="0"/>
                  <a:lumOff val="0"/>
                  <a:alphaOff val="0"/>
                </a:sysClr>
              </a:solidFill>
              <a:latin typeface="Tahoma"/>
              <a:ea typeface="+mn-ea"/>
              <a:cs typeface="+mn-cs"/>
            </a:rPr>
            <a:t>Risk register</a:t>
          </a:r>
          <a:endParaRPr lang="en-US" sz="800" kern="1200" dirty="0">
            <a:solidFill>
              <a:sysClr val="windowText" lastClr="000000">
                <a:hueOff val="0"/>
                <a:satOff val="0"/>
                <a:lumOff val="0"/>
                <a:alphaOff val="0"/>
              </a:sysClr>
            </a:solidFill>
            <a:latin typeface="Tahoma"/>
            <a:ea typeface="+mn-ea"/>
            <a:cs typeface="+mn-cs"/>
          </a:endParaRPr>
        </a:p>
      </dsp:txBody>
      <dsp:txXfrm>
        <a:off x="820499" y="1018944"/>
        <a:ext cx="606357" cy="303147"/>
      </dsp:txXfrm>
    </dsp:sp>
    <dsp:sp modelId="{8D775535-EE6E-4245-960E-F19E59969158}">
      <dsp:nvSpPr>
        <dsp:cNvPr id="0" name=""/>
        <dsp:cNvSpPr/>
      </dsp:nvSpPr>
      <dsp:spPr>
        <a:xfrm>
          <a:off x="883683" y="1251203"/>
          <a:ext cx="1086552" cy="1086662"/>
        </a:xfrm>
        <a:prstGeom prst="circularArrow">
          <a:avLst>
            <a:gd name="adj1" fmla="val 10980"/>
            <a:gd name="adj2" fmla="val 1142322"/>
            <a:gd name="adj3" fmla="val 4500000"/>
            <a:gd name="adj4" fmla="val 13500000"/>
            <a:gd name="adj5" fmla="val 12500"/>
          </a:avLst>
        </a:prstGeom>
        <a:solidFill>
          <a:sysClr val="window" lastClr="FFFFFF">
            <a:hueOff val="0"/>
            <a:satOff val="0"/>
            <a:lumOff val="0"/>
            <a:alphaOff val="0"/>
          </a:sysClr>
        </a:solidFill>
        <a:ln w="25400" cap="flat" cmpd="sng" algn="ctr">
          <a:solidFill>
            <a:srgbClr val="0090AB">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F53221A-6F81-4870-92FC-2A05D3443EA9}">
      <dsp:nvSpPr>
        <dsp:cNvPr id="0" name=""/>
        <dsp:cNvSpPr/>
      </dsp:nvSpPr>
      <dsp:spPr>
        <a:xfrm>
          <a:off x="1123576" y="1644546"/>
          <a:ext cx="606357" cy="303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hueOff val="0"/>
                  <a:satOff val="0"/>
                  <a:lumOff val="0"/>
                  <a:alphaOff val="0"/>
                </a:sysClr>
              </a:solidFill>
              <a:latin typeface="Tahoma"/>
              <a:ea typeface="+mn-ea"/>
              <a:cs typeface="+mn-cs"/>
            </a:rPr>
            <a:t>Operating plan</a:t>
          </a:r>
          <a:endParaRPr lang="en-US" sz="800" kern="1200" dirty="0">
            <a:solidFill>
              <a:sysClr val="windowText" lastClr="000000">
                <a:hueOff val="0"/>
                <a:satOff val="0"/>
                <a:lumOff val="0"/>
                <a:alphaOff val="0"/>
              </a:sysClr>
            </a:solidFill>
            <a:latin typeface="Tahoma"/>
            <a:ea typeface="+mn-ea"/>
            <a:cs typeface="+mn-cs"/>
          </a:endParaRPr>
        </a:p>
      </dsp:txBody>
      <dsp:txXfrm>
        <a:off x="1123576" y="1644546"/>
        <a:ext cx="606357" cy="303147"/>
      </dsp:txXfrm>
    </dsp:sp>
    <dsp:sp modelId="{130BEFC2-820C-49A0-A97B-C783F6856BE9}">
      <dsp:nvSpPr>
        <dsp:cNvPr id="0" name=""/>
        <dsp:cNvSpPr/>
      </dsp:nvSpPr>
      <dsp:spPr>
        <a:xfrm>
          <a:off x="659280" y="1947693"/>
          <a:ext cx="933485" cy="933936"/>
        </a:xfrm>
        <a:prstGeom prst="blockArc">
          <a:avLst>
            <a:gd name="adj1" fmla="val 0"/>
            <a:gd name="adj2" fmla="val 18900000"/>
            <a:gd name="adj3" fmla="val 12740"/>
          </a:avLst>
        </a:prstGeom>
        <a:solidFill>
          <a:sysClr val="window" lastClr="FFFFFF">
            <a:hueOff val="0"/>
            <a:satOff val="0"/>
            <a:lumOff val="0"/>
            <a:alphaOff val="0"/>
          </a:sysClr>
        </a:solidFill>
        <a:ln w="25400" cap="flat" cmpd="sng" algn="ctr">
          <a:solidFill>
            <a:srgbClr val="0090AB">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48C8489-08D0-46F0-9C1A-A7C7CF7D2153}">
      <dsp:nvSpPr>
        <dsp:cNvPr id="0" name=""/>
        <dsp:cNvSpPr/>
      </dsp:nvSpPr>
      <dsp:spPr>
        <a:xfrm>
          <a:off x="820499" y="2270148"/>
          <a:ext cx="606357" cy="303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solidFill>
                <a:sysClr val="windowText" lastClr="000000">
                  <a:hueOff val="0"/>
                  <a:satOff val="0"/>
                  <a:lumOff val="0"/>
                  <a:alphaOff val="0"/>
                </a:sysClr>
              </a:solidFill>
              <a:latin typeface="Tahoma"/>
              <a:ea typeface="+mn-ea"/>
              <a:cs typeface="+mn-cs"/>
            </a:rPr>
            <a:t>Lessons learned</a:t>
          </a:r>
          <a:endParaRPr lang="en-US" sz="800" kern="1200" dirty="0">
            <a:solidFill>
              <a:sysClr val="windowText" lastClr="000000">
                <a:hueOff val="0"/>
                <a:satOff val="0"/>
                <a:lumOff val="0"/>
                <a:alphaOff val="0"/>
              </a:sysClr>
            </a:solidFill>
            <a:latin typeface="Tahoma"/>
            <a:ea typeface="+mn-ea"/>
            <a:cs typeface="+mn-cs"/>
          </a:endParaRPr>
        </a:p>
      </dsp:txBody>
      <dsp:txXfrm>
        <a:off x="820499" y="2270148"/>
        <a:ext cx="606357" cy="3031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8C548-F8C5-4101-A96C-119B0590C0DE}">
      <dsp:nvSpPr>
        <dsp:cNvPr id="0" name=""/>
        <dsp:cNvSpPr/>
      </dsp:nvSpPr>
      <dsp:spPr>
        <a:xfrm>
          <a:off x="796237" y="0"/>
          <a:ext cx="898892" cy="674169"/>
        </a:xfrm>
        <a:prstGeom prst="up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37D445-B0CA-4A3F-AD0E-CC4528217177}">
      <dsp:nvSpPr>
        <dsp:cNvPr id="0" name=""/>
        <dsp:cNvSpPr/>
      </dsp:nvSpPr>
      <dsp:spPr>
        <a:xfrm>
          <a:off x="1722096" y="0"/>
          <a:ext cx="3686860" cy="674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0" rIns="85344" bIns="85344" numCol="1" spcCol="1270" anchor="ctr" anchorCtr="0">
          <a:noAutofit/>
        </a:bodyPr>
        <a:lstStyle/>
        <a:p>
          <a:pPr lvl="0" algn="l" defTabSz="533400">
            <a:lnSpc>
              <a:spcPct val="90000"/>
            </a:lnSpc>
            <a:spcBef>
              <a:spcPct val="0"/>
            </a:spcBef>
            <a:spcAft>
              <a:spcPct val="35000"/>
            </a:spcAft>
          </a:pPr>
          <a:r>
            <a:rPr lang="en-US" sz="1200" kern="1200" dirty="0" smtClean="0"/>
            <a:t>Risk Volatility increase (Total upper impact up £37k)</a:t>
          </a:r>
          <a:endParaRPr lang="en-US" sz="1200" kern="1200" dirty="0"/>
        </a:p>
      </dsp:txBody>
      <dsp:txXfrm>
        <a:off x="1722096" y="0"/>
        <a:ext cx="3686860" cy="674169"/>
      </dsp:txXfrm>
    </dsp:sp>
    <dsp:sp modelId="{051928FC-60E4-4EC3-BAEB-AA892A48C7A0}">
      <dsp:nvSpPr>
        <dsp:cNvPr id="0" name=""/>
        <dsp:cNvSpPr/>
      </dsp:nvSpPr>
      <dsp:spPr>
        <a:xfrm>
          <a:off x="1065905" y="730349"/>
          <a:ext cx="898892" cy="674169"/>
        </a:xfrm>
        <a:prstGeom prst="down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63C5D6-6CAA-48EC-A4EE-968B01F6042B}">
      <dsp:nvSpPr>
        <dsp:cNvPr id="0" name=""/>
        <dsp:cNvSpPr/>
      </dsp:nvSpPr>
      <dsp:spPr>
        <a:xfrm>
          <a:off x="2014604" y="723068"/>
          <a:ext cx="3904496" cy="674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0" rIns="85344" bIns="85344" numCol="1" spcCol="1270" anchor="ctr" anchorCtr="0">
          <a:noAutofit/>
        </a:bodyPr>
        <a:lstStyle/>
        <a:p>
          <a:pPr lvl="0" algn="l" defTabSz="533400">
            <a:lnSpc>
              <a:spcPct val="90000"/>
            </a:lnSpc>
            <a:spcBef>
              <a:spcPct val="0"/>
            </a:spcBef>
            <a:spcAft>
              <a:spcPct val="35000"/>
            </a:spcAft>
          </a:pPr>
          <a:r>
            <a:rPr lang="en-US" sz="1200" kern="1200" dirty="0" smtClean="0"/>
            <a:t>Risk Impact decrease (Total Risk Impact down £21.8m)</a:t>
          </a:r>
          <a:endParaRPr lang="en-US" sz="1200" kern="1200" dirty="0"/>
        </a:p>
      </dsp:txBody>
      <dsp:txXfrm>
        <a:off x="2014604" y="723068"/>
        <a:ext cx="3904496" cy="674169"/>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A507B7F86E4CB192102FEEE87D576F"/>
        <w:category>
          <w:name w:val="General"/>
          <w:gallery w:val="placeholder"/>
        </w:category>
        <w:types>
          <w:type w:val="bbPlcHdr"/>
        </w:types>
        <w:behaviors>
          <w:behavior w:val="content"/>
        </w:behaviors>
        <w:guid w:val="{20F8702D-56C5-45B4-A763-CB5F48891DA4}"/>
      </w:docPartPr>
      <w:docPartBody>
        <w:p w:rsidR="005D460B" w:rsidRDefault="005D460B">
          <w:pPr>
            <w:pStyle w:val="DCA507B7F86E4CB192102FEEE87D576F"/>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0B"/>
    <w:rsid w:val="0001360E"/>
    <w:rsid w:val="00034A9A"/>
    <w:rsid w:val="00051E65"/>
    <w:rsid w:val="00170CA3"/>
    <w:rsid w:val="00172588"/>
    <w:rsid w:val="0017793E"/>
    <w:rsid w:val="001C6B10"/>
    <w:rsid w:val="002338AE"/>
    <w:rsid w:val="00264FA4"/>
    <w:rsid w:val="002767FB"/>
    <w:rsid w:val="004A39D7"/>
    <w:rsid w:val="004D0F68"/>
    <w:rsid w:val="005C51FA"/>
    <w:rsid w:val="005D460B"/>
    <w:rsid w:val="006405F8"/>
    <w:rsid w:val="006C6860"/>
    <w:rsid w:val="007746D3"/>
    <w:rsid w:val="00782511"/>
    <w:rsid w:val="007A0367"/>
    <w:rsid w:val="007A045E"/>
    <w:rsid w:val="007A59BC"/>
    <w:rsid w:val="0080523D"/>
    <w:rsid w:val="00822590"/>
    <w:rsid w:val="008B509B"/>
    <w:rsid w:val="00996969"/>
    <w:rsid w:val="00A270B8"/>
    <w:rsid w:val="00A675F1"/>
    <w:rsid w:val="00A819F0"/>
    <w:rsid w:val="00A94E7E"/>
    <w:rsid w:val="00AA5C5A"/>
    <w:rsid w:val="00AD108F"/>
    <w:rsid w:val="00B00C2C"/>
    <w:rsid w:val="00B14413"/>
    <w:rsid w:val="00B74187"/>
    <w:rsid w:val="00BD4B2A"/>
    <w:rsid w:val="00C01D18"/>
    <w:rsid w:val="00C501FF"/>
    <w:rsid w:val="00C66E41"/>
    <w:rsid w:val="00CA5D2E"/>
    <w:rsid w:val="00D376A6"/>
    <w:rsid w:val="00D74972"/>
    <w:rsid w:val="00D8151B"/>
    <w:rsid w:val="00D95610"/>
    <w:rsid w:val="00DC366B"/>
    <w:rsid w:val="00DC377A"/>
    <w:rsid w:val="00E800A9"/>
    <w:rsid w:val="00E801CD"/>
    <w:rsid w:val="00EF1092"/>
    <w:rsid w:val="00EF7985"/>
    <w:rsid w:val="00F530E5"/>
    <w:rsid w:val="00FB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CA507B7F86E4CB192102FEEE87D576F">
    <w:name w:val="DCA507B7F86E4CB192102FEEE87D576F"/>
  </w:style>
  <w:style w:type="paragraph" w:customStyle="1" w:styleId="3F51DE0DB6494097BB55B51667EEF413">
    <w:name w:val="3F51DE0DB6494097BB55B51667EEF413"/>
    <w:rsid w:val="00B74187"/>
    <w:pPr>
      <w:spacing w:after="160" w:line="259" w:lineRule="auto"/>
    </w:pPr>
  </w:style>
  <w:style w:type="paragraph" w:customStyle="1" w:styleId="D4D0344191D84DE484B92CFAA9901161">
    <w:name w:val="D4D0344191D84DE484B92CFAA9901161"/>
    <w:rsid w:val="006C68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94A8-DE43-4001-9981-13A8F159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TotalTime>
  <Pages>49</Pages>
  <Words>5950</Words>
  <Characters>33917</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The Risk Operating Plan</vt:lpstr>
    </vt:vector>
  </TitlesOfParts>
  <Company>Elexon</Company>
  <LinksUpToDate>false</LinksUpToDate>
  <CharactersWithSpaces>39788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 Operating Plan</dc:title>
  <dc:subject>The Risk Operating Plan (ROP) sets out how the Performance Assurance Board (PAB) will provide assurance in respect of the Settlement Risks in the Risk Evaluation Register and the estimated cost of delivering this assurance for 2018/2019.</dc:subject>
  <dc:creator>ELEXON;BSC Operations;Beth.Brown@elexon.co.uk</dc:creator>
  <cp:lastModifiedBy>Jessica Porter</cp:lastModifiedBy>
  <cp:revision>2</cp:revision>
  <cp:lastPrinted>2019-01-25T09:35:00Z</cp:lastPrinted>
  <dcterms:created xsi:type="dcterms:W3CDTF">2020-04-27T08:14:00Z</dcterms:created>
  <dcterms:modified xsi:type="dcterms:W3CDTF">2020-04-27T08:14:00Z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