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5141" w14:textId="77777777" w:rsidR="0054644A" w:rsidRPr="005119E1" w:rsidRDefault="00D53593" w:rsidP="0016616D">
      <w:pPr>
        <w:pStyle w:val="Heading2"/>
        <w:keepNext w:val="0"/>
        <w:pageBreakBefore/>
        <w:numPr>
          <w:ilvl w:val="0"/>
          <w:numId w:val="0"/>
        </w:numPr>
        <w:rPr>
          <w:rFonts w:ascii="Tahoma" w:hAnsi="Tahoma" w:cs="Tahoma"/>
          <w:sz w:val="20"/>
        </w:rPr>
      </w:pPr>
      <w:bookmarkStart w:id="0" w:name="_Toc379515818"/>
      <w:bookmarkStart w:id="1" w:name="_Toc370135664"/>
      <w:bookmarkStart w:id="2" w:name="_Toc500826820"/>
      <w:bookmarkStart w:id="3" w:name="_Toc528156084"/>
      <w:bookmarkStart w:id="4" w:name="_Toc534018417"/>
      <w:bookmarkStart w:id="5" w:name="_Toc41992484"/>
      <w:bookmarkStart w:id="6" w:name="_Toc382496191"/>
      <w:bookmarkStart w:id="7" w:name="_Toc382729711"/>
      <w:bookmarkStart w:id="8" w:name="_Toc394740163"/>
      <w:bookmarkStart w:id="9" w:name="_Toc394742149"/>
      <w:bookmarkStart w:id="10" w:name="_Toc398005513"/>
      <w:bookmarkStart w:id="11" w:name="_Toc398008686"/>
      <w:bookmarkStart w:id="12" w:name="_Toc398010736"/>
      <w:bookmarkStart w:id="13" w:name="_Toc398012761"/>
      <w:bookmarkEnd w:id="0"/>
      <w:r w:rsidRPr="005119E1">
        <w:rPr>
          <w:rFonts w:ascii="Tahoma" w:hAnsi="Tahoma" w:cs="Tahoma"/>
          <w:sz w:val="20"/>
        </w:rPr>
        <w:t>4.3</w:t>
      </w:r>
      <w:r w:rsidRPr="005119E1">
        <w:rPr>
          <w:rFonts w:ascii="Tahoma" w:hAnsi="Tahoma" w:cs="Tahoma"/>
          <w:sz w:val="20"/>
        </w:rPr>
        <w:tab/>
        <w:t>CP Form</w:t>
      </w:r>
      <w:bookmarkEnd w:id="1"/>
      <w:bookmarkEnd w:id="2"/>
      <w:bookmarkEnd w:id="3"/>
      <w:bookmarkEnd w:id="4"/>
      <w:bookmarkEnd w:id="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5119E1" w14:paraId="448AE4BB" w14:textId="77777777" w:rsidTr="7E11D5C9">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E22101" w14:textId="77777777" w:rsidR="0054644A" w:rsidRPr="005119E1" w:rsidRDefault="00D53593">
            <w:pPr>
              <w:suppressAutoHyphens/>
              <w:jc w:val="center"/>
              <w:rPr>
                <w:rFonts w:ascii="Tahoma" w:hAnsi="Tahoma" w:cs="Tahoma"/>
                <w:b/>
                <w:sz w:val="20"/>
              </w:rPr>
            </w:pPr>
            <w:r w:rsidRPr="005119E1">
              <w:rPr>
                <w:rFonts w:ascii="Tahoma" w:hAnsi="Tahoma" w:cs="Tahoma"/>
                <w:b/>
                <w:sz w:val="20"/>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18D689" w14:textId="63AAB36C" w:rsidR="0054644A" w:rsidRPr="005119E1" w:rsidRDefault="00D53593">
            <w:pPr>
              <w:suppressAutoHyphens/>
              <w:spacing w:after="120"/>
              <w:rPr>
                <w:rFonts w:ascii="Tahoma" w:hAnsi="Tahoma" w:cs="Tahoma"/>
                <w:b/>
                <w:sz w:val="20"/>
              </w:rPr>
            </w:pPr>
            <w:r w:rsidRPr="005119E1">
              <w:rPr>
                <w:rFonts w:ascii="Tahoma" w:hAnsi="Tahoma" w:cs="Tahoma"/>
                <w:b/>
                <w:sz w:val="20"/>
              </w:rPr>
              <w:t>CP No:</w:t>
            </w:r>
            <w:r w:rsidR="00695679">
              <w:rPr>
                <w:rFonts w:ascii="Tahoma" w:hAnsi="Tahoma" w:cs="Tahoma"/>
                <w:b/>
                <w:sz w:val="20"/>
              </w:rPr>
              <w:t xml:space="preserve"> </w:t>
            </w:r>
            <w:r w:rsidR="00695679" w:rsidRPr="00695679">
              <w:rPr>
                <w:rFonts w:ascii="Tahoma" w:hAnsi="Tahoma" w:cs="Tahoma"/>
                <w:sz w:val="20"/>
              </w:rPr>
              <w:t>1.0</w:t>
            </w:r>
          </w:p>
          <w:p w14:paraId="5FEB484B" w14:textId="77777777" w:rsidR="0054644A" w:rsidRPr="005119E1" w:rsidRDefault="00D53593">
            <w:pPr>
              <w:suppressAutoHyphens/>
              <w:rPr>
                <w:rFonts w:ascii="Tahoma" w:hAnsi="Tahoma" w:cs="Tahoma"/>
                <w:i/>
                <w:sz w:val="20"/>
              </w:rPr>
            </w:pPr>
            <w:r w:rsidRPr="005119E1">
              <w:rPr>
                <w:rFonts w:ascii="Tahoma" w:hAnsi="Tahoma" w:cs="Tahoma"/>
                <w:i/>
                <w:sz w:val="20"/>
              </w:rPr>
              <w:t xml:space="preserve">Version No: </w:t>
            </w:r>
          </w:p>
          <w:p w14:paraId="60414F45" w14:textId="77777777" w:rsidR="0054644A" w:rsidRPr="005119E1" w:rsidRDefault="00D53593">
            <w:pPr>
              <w:suppressAutoHyphens/>
              <w:spacing w:after="120"/>
              <w:rPr>
                <w:rFonts w:ascii="Tahoma" w:hAnsi="Tahoma" w:cs="Tahoma"/>
                <w:i/>
                <w:sz w:val="20"/>
              </w:rPr>
            </w:pPr>
            <w:r w:rsidRPr="005119E1">
              <w:rPr>
                <w:rFonts w:ascii="Tahoma" w:hAnsi="Tahoma" w:cs="Tahoma"/>
                <w:i/>
                <w:spacing w:val="-3"/>
                <w:sz w:val="20"/>
              </w:rPr>
              <w:t xml:space="preserve">(mandatory by </w:t>
            </w:r>
            <w:proofErr w:type="spellStart"/>
            <w:r w:rsidRPr="005119E1">
              <w:rPr>
                <w:rFonts w:ascii="Tahoma" w:hAnsi="Tahoma" w:cs="Tahoma"/>
                <w:i/>
                <w:spacing w:val="-3"/>
                <w:sz w:val="20"/>
              </w:rPr>
              <w:t>BSCCo</w:t>
            </w:r>
            <w:proofErr w:type="spellEnd"/>
            <w:r w:rsidRPr="005119E1">
              <w:rPr>
                <w:rFonts w:ascii="Tahoma" w:hAnsi="Tahoma" w:cs="Tahoma"/>
                <w:i/>
                <w:spacing w:val="-3"/>
                <w:sz w:val="20"/>
              </w:rPr>
              <w:t>)</w:t>
            </w:r>
          </w:p>
        </w:tc>
      </w:tr>
      <w:tr w:rsidR="0054644A" w:rsidRPr="005119E1" w14:paraId="0B70615E"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75AB88" w14:textId="77777777" w:rsidR="0054644A" w:rsidRPr="005119E1" w:rsidRDefault="00D53593">
            <w:pPr>
              <w:suppressAutoHyphens/>
              <w:spacing w:after="240"/>
              <w:jc w:val="both"/>
              <w:rPr>
                <w:rFonts w:ascii="Tahoma" w:hAnsi="Tahoma" w:cs="Tahoma"/>
                <w:b/>
                <w:spacing w:val="-3"/>
                <w:sz w:val="20"/>
              </w:rPr>
            </w:pPr>
            <w:r w:rsidRPr="005119E1">
              <w:rPr>
                <w:rFonts w:ascii="Tahoma" w:hAnsi="Tahoma" w:cs="Tahoma"/>
                <w:b/>
                <w:spacing w:val="-3"/>
                <w:sz w:val="20"/>
              </w:rPr>
              <w:t>Title (mandatory by originator)</w:t>
            </w:r>
          </w:p>
          <w:p w14:paraId="004252D5" w14:textId="1CD0DEDC" w:rsidR="0054644A" w:rsidRPr="005119E1" w:rsidRDefault="00792823" w:rsidP="007C71BE">
            <w:pPr>
              <w:suppressAutoHyphens/>
              <w:spacing w:after="240"/>
              <w:jc w:val="both"/>
              <w:rPr>
                <w:rFonts w:ascii="Tahoma" w:hAnsi="Tahoma" w:cs="Tahoma"/>
                <w:sz w:val="20"/>
              </w:rPr>
            </w:pPr>
            <w:r w:rsidRPr="005119E1">
              <w:rPr>
                <w:rFonts w:ascii="Tahoma" w:hAnsi="Tahoma" w:cs="Tahoma"/>
                <w:spacing w:val="-3"/>
                <w:sz w:val="20"/>
              </w:rPr>
              <w:t>Updates to m</w:t>
            </w:r>
            <w:r w:rsidR="007C71BE" w:rsidRPr="005119E1">
              <w:rPr>
                <w:rFonts w:ascii="Tahoma" w:hAnsi="Tahoma" w:cs="Tahoma"/>
                <w:spacing w:val="-3"/>
                <w:sz w:val="20"/>
              </w:rPr>
              <w:t>onitoring of</w:t>
            </w:r>
            <w:r w:rsidR="00BC753E" w:rsidRPr="005119E1">
              <w:rPr>
                <w:rFonts w:ascii="Tahoma" w:hAnsi="Tahoma" w:cs="Tahoma"/>
                <w:spacing w:val="-3"/>
                <w:sz w:val="20"/>
              </w:rPr>
              <w:t xml:space="preserve"> </w:t>
            </w:r>
            <w:r w:rsidR="00960A98" w:rsidRPr="005119E1">
              <w:rPr>
                <w:rFonts w:ascii="Tahoma" w:hAnsi="Tahoma" w:cs="Tahoma"/>
                <w:spacing w:val="-3"/>
                <w:sz w:val="20"/>
              </w:rPr>
              <w:t>v</w:t>
            </w:r>
            <w:r w:rsidR="007C71BE" w:rsidRPr="005119E1">
              <w:rPr>
                <w:rFonts w:ascii="Tahoma" w:hAnsi="Tahoma" w:cs="Tahoma"/>
                <w:spacing w:val="-3"/>
                <w:sz w:val="20"/>
              </w:rPr>
              <w:t>oltage failure alarms</w:t>
            </w:r>
            <w:r w:rsidR="00960A98" w:rsidRPr="005119E1">
              <w:rPr>
                <w:rFonts w:ascii="Tahoma" w:hAnsi="Tahoma" w:cs="Tahoma"/>
                <w:spacing w:val="-3"/>
                <w:sz w:val="20"/>
              </w:rPr>
              <w:t xml:space="preserve"> </w:t>
            </w:r>
            <w:r w:rsidRPr="005119E1">
              <w:rPr>
                <w:rFonts w:ascii="Tahoma" w:hAnsi="Tahoma" w:cs="Tahoma"/>
                <w:spacing w:val="-3"/>
                <w:sz w:val="20"/>
              </w:rPr>
              <w:t>requirements</w:t>
            </w:r>
          </w:p>
        </w:tc>
      </w:tr>
      <w:tr w:rsidR="0054644A" w:rsidRPr="005119E1" w14:paraId="3D644122"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7153F829" w14:textId="77777777" w:rsidR="0054644A" w:rsidRPr="005119E1" w:rsidRDefault="00D53593">
            <w:pPr>
              <w:suppressAutoHyphens/>
              <w:jc w:val="both"/>
              <w:rPr>
                <w:rFonts w:ascii="Tahoma" w:hAnsi="Tahoma" w:cs="Tahoma"/>
                <w:spacing w:val="-3"/>
                <w:sz w:val="20"/>
              </w:rPr>
            </w:pPr>
            <w:r w:rsidRPr="005119E1">
              <w:rPr>
                <w:rFonts w:ascii="Tahoma" w:hAnsi="Tahoma" w:cs="Tahoma"/>
                <w:b/>
                <w:spacing w:val="-3"/>
                <w:sz w:val="20"/>
              </w:rPr>
              <w:t>Description of Problem/Issue</w:t>
            </w:r>
            <w:r w:rsidRPr="005119E1">
              <w:rPr>
                <w:rFonts w:ascii="Tahoma" w:hAnsi="Tahoma" w:cs="Tahoma"/>
                <w:spacing w:val="-3"/>
                <w:sz w:val="20"/>
              </w:rPr>
              <w:t xml:space="preserve"> (mandatory by originator)</w:t>
            </w:r>
          </w:p>
        </w:tc>
      </w:tr>
      <w:tr w:rsidR="0054644A" w:rsidRPr="00CA69E7" w14:paraId="41C9F195" w14:textId="77777777" w:rsidTr="005119E1">
        <w:tblPrEx>
          <w:tblBorders>
            <w:top w:val="single" w:sz="4" w:space="0" w:color="auto"/>
            <w:left w:val="single" w:sz="4" w:space="0" w:color="auto"/>
            <w:bottom w:val="single" w:sz="4" w:space="0" w:color="auto"/>
            <w:right w:val="single" w:sz="4" w:space="0" w:color="auto"/>
          </w:tblBorders>
        </w:tblPrEx>
        <w:trPr>
          <w:cantSplit/>
          <w:trHeight w:val="9863"/>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10D62A5C" w14:textId="65855FF8" w:rsidR="00E0384F" w:rsidRPr="005119E1" w:rsidRDefault="004F10B6" w:rsidP="007C71BE">
            <w:pPr>
              <w:suppressAutoHyphens/>
              <w:spacing w:after="240"/>
              <w:jc w:val="both"/>
              <w:rPr>
                <w:rFonts w:ascii="Tahoma" w:hAnsi="Tahoma" w:cs="Tahoma"/>
                <w:sz w:val="20"/>
              </w:rPr>
            </w:pPr>
            <w:r w:rsidRPr="005119E1">
              <w:rPr>
                <w:rFonts w:ascii="Tahoma" w:hAnsi="Tahoma" w:cs="Tahoma"/>
                <w:spacing w:val="-3"/>
                <w:sz w:val="20"/>
              </w:rPr>
              <w:t>At</w:t>
            </w:r>
            <w:r w:rsidR="00DA1DD8" w:rsidRPr="005119E1">
              <w:rPr>
                <w:rFonts w:ascii="Tahoma" w:hAnsi="Tahoma" w:cs="Tahoma"/>
                <w:spacing w:val="-3"/>
                <w:sz w:val="20"/>
              </w:rPr>
              <w:t xml:space="preserve"> the </w:t>
            </w:r>
            <w:r w:rsidR="00EE4189" w:rsidRPr="005119E1">
              <w:rPr>
                <w:rFonts w:ascii="Tahoma" w:hAnsi="Tahoma" w:cs="Tahoma"/>
                <w:spacing w:val="-3"/>
                <w:sz w:val="20"/>
              </w:rPr>
              <w:t xml:space="preserve">second </w:t>
            </w:r>
            <w:hyperlink r:id="rId11" w:history="1">
              <w:r w:rsidR="00DA1DD8" w:rsidRPr="005119E1">
                <w:rPr>
                  <w:rStyle w:val="Hyperlink"/>
                  <w:rFonts w:ascii="Tahoma" w:hAnsi="Tahoma" w:cs="Tahoma"/>
                  <w:spacing w:val="-3"/>
                  <w:sz w:val="20"/>
                </w:rPr>
                <w:t>Issue 93</w:t>
              </w:r>
              <w:r w:rsidR="00D421B2" w:rsidRPr="005119E1">
                <w:rPr>
                  <w:rStyle w:val="Hyperlink"/>
                  <w:rFonts w:ascii="Tahoma" w:hAnsi="Tahoma" w:cs="Tahoma"/>
                  <w:spacing w:val="-3"/>
                  <w:sz w:val="20"/>
                </w:rPr>
                <w:t xml:space="preserve"> ‘Review of the BSC metering Codes of Practice’</w:t>
              </w:r>
            </w:hyperlink>
            <w:r w:rsidR="00DA1DD8" w:rsidRPr="005119E1">
              <w:rPr>
                <w:rFonts w:ascii="Tahoma" w:hAnsi="Tahoma" w:cs="Tahoma"/>
                <w:spacing w:val="-3"/>
                <w:sz w:val="20"/>
              </w:rPr>
              <w:t xml:space="preserve"> </w:t>
            </w:r>
            <w:r w:rsidR="002D7859" w:rsidRPr="005119E1">
              <w:rPr>
                <w:rFonts w:ascii="Tahoma" w:hAnsi="Tahoma" w:cs="Tahoma"/>
                <w:spacing w:val="-3"/>
                <w:sz w:val="20"/>
              </w:rPr>
              <w:t xml:space="preserve"> meeting, the workgroup agreed to raise a </w:t>
            </w:r>
            <w:r w:rsidR="679B6BA4" w:rsidRPr="005119E1">
              <w:rPr>
                <w:rFonts w:ascii="Tahoma" w:hAnsi="Tahoma" w:cs="Tahoma"/>
                <w:sz w:val="20"/>
              </w:rPr>
              <w:t>C</w:t>
            </w:r>
            <w:r w:rsidR="002D7859" w:rsidRPr="005119E1">
              <w:rPr>
                <w:rFonts w:ascii="Tahoma" w:hAnsi="Tahoma" w:cs="Tahoma"/>
                <w:spacing w:val="-3"/>
                <w:sz w:val="20"/>
              </w:rPr>
              <w:t xml:space="preserve">hange </w:t>
            </w:r>
            <w:r w:rsidR="36B1FB30" w:rsidRPr="005119E1">
              <w:rPr>
                <w:rFonts w:ascii="Tahoma" w:hAnsi="Tahoma" w:cs="Tahoma"/>
                <w:sz w:val="20"/>
              </w:rPr>
              <w:t>P</w:t>
            </w:r>
            <w:r w:rsidR="002D7859" w:rsidRPr="005119E1">
              <w:rPr>
                <w:rFonts w:ascii="Tahoma" w:hAnsi="Tahoma" w:cs="Tahoma"/>
                <w:spacing w:val="-3"/>
                <w:sz w:val="20"/>
              </w:rPr>
              <w:t xml:space="preserve">roposal </w:t>
            </w:r>
            <w:r w:rsidRPr="005119E1">
              <w:rPr>
                <w:rFonts w:ascii="Tahoma" w:hAnsi="Tahoma" w:cs="Tahoma"/>
                <w:spacing w:val="-3"/>
                <w:sz w:val="20"/>
              </w:rPr>
              <w:t xml:space="preserve">(CP) </w:t>
            </w:r>
            <w:r w:rsidR="002D7859" w:rsidRPr="005119E1">
              <w:rPr>
                <w:rFonts w:ascii="Tahoma" w:hAnsi="Tahoma" w:cs="Tahoma"/>
                <w:spacing w:val="-3"/>
                <w:sz w:val="20"/>
              </w:rPr>
              <w:t xml:space="preserve">that </w:t>
            </w:r>
            <w:r w:rsidR="00DA1DD8" w:rsidRPr="005119E1">
              <w:rPr>
                <w:rFonts w:ascii="Tahoma" w:hAnsi="Tahoma" w:cs="Tahoma"/>
                <w:spacing w:val="-3"/>
                <w:sz w:val="20"/>
              </w:rPr>
              <w:t>address</w:t>
            </w:r>
            <w:r w:rsidR="002D7859" w:rsidRPr="005119E1">
              <w:rPr>
                <w:rFonts w:ascii="Tahoma" w:hAnsi="Tahoma" w:cs="Tahoma"/>
                <w:spacing w:val="-3"/>
                <w:sz w:val="20"/>
              </w:rPr>
              <w:t>es</w:t>
            </w:r>
            <w:r w:rsidR="00DA1DD8" w:rsidRPr="005119E1">
              <w:rPr>
                <w:rFonts w:ascii="Tahoma" w:hAnsi="Tahoma" w:cs="Tahoma"/>
                <w:spacing w:val="-3"/>
                <w:sz w:val="20"/>
              </w:rPr>
              <w:t xml:space="preserve"> </w:t>
            </w:r>
            <w:r w:rsidRPr="005119E1">
              <w:rPr>
                <w:rFonts w:ascii="Tahoma" w:hAnsi="Tahoma" w:cs="Tahoma"/>
                <w:spacing w:val="-3"/>
                <w:sz w:val="20"/>
              </w:rPr>
              <w:t>the</w:t>
            </w:r>
            <w:r w:rsidR="00E05239" w:rsidRPr="005119E1">
              <w:rPr>
                <w:rFonts w:ascii="Tahoma" w:hAnsi="Tahoma" w:cs="Tahoma"/>
                <w:spacing w:val="-3"/>
                <w:sz w:val="20"/>
              </w:rPr>
              <w:t xml:space="preserve"> </w:t>
            </w:r>
            <w:r w:rsidRPr="005119E1">
              <w:rPr>
                <w:rFonts w:ascii="Tahoma" w:hAnsi="Tahoma" w:cs="Tahoma"/>
                <w:spacing w:val="-3"/>
                <w:sz w:val="20"/>
              </w:rPr>
              <w:t>‘</w:t>
            </w:r>
            <w:r w:rsidR="00E05239" w:rsidRPr="005119E1">
              <w:rPr>
                <w:rFonts w:ascii="Tahoma" w:hAnsi="Tahoma" w:cs="Tahoma"/>
                <w:spacing w:val="-3"/>
                <w:sz w:val="20"/>
              </w:rPr>
              <w:t xml:space="preserve">Monitoring of </w:t>
            </w:r>
            <w:r w:rsidR="00960A98" w:rsidRPr="005119E1">
              <w:rPr>
                <w:rFonts w:ascii="Tahoma" w:hAnsi="Tahoma" w:cs="Tahoma"/>
                <w:spacing w:val="-3"/>
                <w:sz w:val="20"/>
              </w:rPr>
              <w:t>v</w:t>
            </w:r>
            <w:r w:rsidR="00E05239" w:rsidRPr="005119E1">
              <w:rPr>
                <w:rFonts w:ascii="Tahoma" w:hAnsi="Tahoma" w:cs="Tahoma"/>
                <w:spacing w:val="-3"/>
                <w:sz w:val="20"/>
              </w:rPr>
              <w:t>oltage failure alarms</w:t>
            </w:r>
            <w:r w:rsidRPr="005119E1">
              <w:rPr>
                <w:rFonts w:ascii="Tahoma" w:hAnsi="Tahoma" w:cs="Tahoma"/>
                <w:spacing w:val="-3"/>
                <w:sz w:val="20"/>
              </w:rPr>
              <w:t>’</w:t>
            </w:r>
            <w:r w:rsidR="00FC518D" w:rsidRPr="005119E1">
              <w:rPr>
                <w:rFonts w:ascii="Tahoma" w:hAnsi="Tahoma" w:cs="Tahoma"/>
                <w:spacing w:val="-3"/>
                <w:sz w:val="20"/>
              </w:rPr>
              <w:t xml:space="preserve"> aspect</w:t>
            </w:r>
            <w:r w:rsidR="00E05239" w:rsidRPr="005119E1">
              <w:rPr>
                <w:rFonts w:ascii="Tahoma" w:hAnsi="Tahoma" w:cs="Tahoma"/>
                <w:spacing w:val="-3"/>
                <w:sz w:val="20"/>
              </w:rPr>
              <w:t xml:space="preserve"> of Issue 93.</w:t>
            </w:r>
          </w:p>
          <w:p w14:paraId="0FD348DB" w14:textId="79C4FCE4" w:rsidR="00DF43CB" w:rsidRDefault="004F10B6" w:rsidP="007C71BE">
            <w:pPr>
              <w:suppressAutoHyphens/>
              <w:spacing w:after="240"/>
              <w:jc w:val="both"/>
              <w:rPr>
                <w:rFonts w:ascii="Tahoma" w:hAnsi="Tahoma" w:cs="Tahoma"/>
                <w:spacing w:val="-3"/>
                <w:sz w:val="20"/>
              </w:rPr>
            </w:pPr>
            <w:r w:rsidRPr="005119E1">
              <w:rPr>
                <w:rFonts w:ascii="Tahoma" w:hAnsi="Tahoma" w:cs="Tahoma"/>
                <w:spacing w:val="-3"/>
                <w:sz w:val="20"/>
              </w:rPr>
              <w:t>Under the ‘Monitoring of voltage failure alarms’, there</w:t>
            </w:r>
            <w:r w:rsidR="00586BF5" w:rsidRPr="005119E1">
              <w:rPr>
                <w:rFonts w:ascii="Tahoma" w:hAnsi="Tahoma" w:cs="Tahoma"/>
                <w:spacing w:val="-3"/>
                <w:sz w:val="20"/>
              </w:rPr>
              <w:t xml:space="preserve"> are </w:t>
            </w:r>
            <w:r w:rsidR="5C89DA81" w:rsidRPr="005119E1">
              <w:rPr>
                <w:rFonts w:ascii="Tahoma" w:hAnsi="Tahoma" w:cs="Tahoma"/>
                <w:spacing w:val="-3"/>
                <w:sz w:val="20"/>
              </w:rPr>
              <w:t>two</w:t>
            </w:r>
            <w:r w:rsidR="00586BF5" w:rsidRPr="005119E1">
              <w:rPr>
                <w:rFonts w:ascii="Tahoma" w:hAnsi="Tahoma" w:cs="Tahoma"/>
                <w:spacing w:val="-3"/>
                <w:sz w:val="20"/>
              </w:rPr>
              <w:t xml:space="preserve"> sub-</w:t>
            </w:r>
            <w:r w:rsidR="002D7859" w:rsidRPr="005119E1">
              <w:rPr>
                <w:rFonts w:ascii="Tahoma" w:hAnsi="Tahoma" w:cs="Tahoma"/>
                <w:spacing w:val="-3"/>
                <w:sz w:val="20"/>
              </w:rPr>
              <w:t xml:space="preserve">issues </w:t>
            </w:r>
            <w:r w:rsidR="00586BF5" w:rsidRPr="005119E1">
              <w:rPr>
                <w:rFonts w:ascii="Tahoma" w:hAnsi="Tahoma" w:cs="Tahoma"/>
                <w:spacing w:val="-3"/>
                <w:sz w:val="20"/>
              </w:rPr>
              <w:t xml:space="preserve">which this </w:t>
            </w:r>
            <w:r w:rsidRPr="005119E1">
              <w:rPr>
                <w:rFonts w:ascii="Tahoma" w:hAnsi="Tahoma" w:cs="Tahoma"/>
                <w:sz w:val="20"/>
              </w:rPr>
              <w:t>CP</w:t>
            </w:r>
            <w:r w:rsidR="00586BF5" w:rsidRPr="005119E1">
              <w:rPr>
                <w:rFonts w:ascii="Tahoma" w:hAnsi="Tahoma" w:cs="Tahoma"/>
                <w:spacing w:val="-3"/>
                <w:sz w:val="20"/>
              </w:rPr>
              <w:t xml:space="preserve"> seeks to resolve:</w:t>
            </w:r>
          </w:p>
          <w:p w14:paraId="1526BCBA" w14:textId="77777777" w:rsidR="005119E1" w:rsidRPr="005119E1" w:rsidRDefault="005119E1" w:rsidP="007C71BE">
            <w:pPr>
              <w:suppressAutoHyphens/>
              <w:spacing w:after="240"/>
              <w:jc w:val="both"/>
              <w:rPr>
                <w:rFonts w:ascii="Tahoma" w:hAnsi="Tahoma" w:cs="Tahoma"/>
                <w:spacing w:val="-3"/>
                <w:sz w:val="20"/>
              </w:rPr>
            </w:pPr>
          </w:p>
          <w:p w14:paraId="3E4456DC" w14:textId="77777777" w:rsidR="00CA69E7" w:rsidRPr="005119E1" w:rsidRDefault="00CA69E7" w:rsidP="00CA69E7">
            <w:pPr>
              <w:pStyle w:val="ListParagraph"/>
              <w:numPr>
                <w:ilvl w:val="0"/>
                <w:numId w:val="36"/>
              </w:numPr>
              <w:suppressAutoHyphens/>
              <w:spacing w:after="240"/>
              <w:jc w:val="both"/>
              <w:rPr>
                <w:rFonts w:ascii="Tahoma" w:hAnsi="Tahoma" w:cs="Tahoma"/>
                <w:sz w:val="20"/>
                <w:u w:val="single"/>
              </w:rPr>
            </w:pPr>
            <w:r w:rsidRPr="005119E1">
              <w:rPr>
                <w:rFonts w:ascii="Tahoma" w:hAnsi="Tahoma" w:cs="Tahoma"/>
                <w:sz w:val="20"/>
                <w:u w:val="single"/>
              </w:rPr>
              <w:t xml:space="preserve">Voltage Transformer (VT) – Lack of clarity in the phase failure alarm requirements </w:t>
            </w:r>
          </w:p>
          <w:p w14:paraId="448DDAF6" w14:textId="7806BBFC" w:rsidR="00822322" w:rsidRPr="005119E1" w:rsidRDefault="00CA69E7" w:rsidP="00CA69E7">
            <w:pPr>
              <w:suppressAutoHyphens/>
              <w:spacing w:after="240"/>
              <w:jc w:val="both"/>
              <w:rPr>
                <w:rFonts w:ascii="Tahoma" w:hAnsi="Tahoma" w:cs="Tahoma"/>
                <w:sz w:val="20"/>
              </w:rPr>
            </w:pPr>
            <w:r w:rsidRPr="005119E1">
              <w:rPr>
                <w:rFonts w:ascii="Tahoma" w:hAnsi="Tahoma" w:cs="Tahoma"/>
                <w:spacing w:val="-3"/>
                <w:sz w:val="20"/>
              </w:rPr>
              <w:t>T</w:t>
            </w:r>
            <w:r w:rsidR="00CB67E8" w:rsidRPr="005119E1">
              <w:rPr>
                <w:rFonts w:ascii="Tahoma" w:hAnsi="Tahoma" w:cs="Tahoma"/>
                <w:spacing w:val="-3"/>
                <w:sz w:val="20"/>
              </w:rPr>
              <w:t xml:space="preserve">here is </w:t>
            </w:r>
            <w:r w:rsidR="000C1F11" w:rsidRPr="005119E1">
              <w:rPr>
                <w:rFonts w:ascii="Tahoma" w:hAnsi="Tahoma" w:cs="Tahoma"/>
                <w:sz w:val="20"/>
              </w:rPr>
              <w:t xml:space="preserve">a </w:t>
            </w:r>
            <w:r w:rsidR="00C93B0B" w:rsidRPr="005119E1">
              <w:rPr>
                <w:rFonts w:ascii="Tahoma" w:hAnsi="Tahoma" w:cs="Tahoma"/>
                <w:spacing w:val="-3"/>
                <w:sz w:val="20"/>
              </w:rPr>
              <w:t>lack of clarity</w:t>
            </w:r>
            <w:r w:rsidR="1C6B042D" w:rsidRPr="005119E1">
              <w:rPr>
                <w:rFonts w:ascii="Tahoma" w:hAnsi="Tahoma" w:cs="Tahoma"/>
                <w:sz w:val="20"/>
              </w:rPr>
              <w:t xml:space="preserve"> i</w:t>
            </w:r>
            <w:r w:rsidR="00792823" w:rsidRPr="005119E1">
              <w:rPr>
                <w:rFonts w:ascii="Tahoma" w:hAnsi="Tahoma" w:cs="Tahoma"/>
                <w:sz w:val="20"/>
              </w:rPr>
              <w:t xml:space="preserve">n Section 5.1.3 of the </w:t>
            </w:r>
            <w:proofErr w:type="spellStart"/>
            <w:r w:rsidR="1C6B042D" w:rsidRPr="005119E1">
              <w:rPr>
                <w:rFonts w:ascii="Tahoma" w:hAnsi="Tahoma" w:cs="Tahoma"/>
                <w:sz w:val="20"/>
              </w:rPr>
              <w:t>CoPs</w:t>
            </w:r>
            <w:proofErr w:type="spellEnd"/>
            <w:r w:rsidR="1C6B042D" w:rsidRPr="005119E1">
              <w:rPr>
                <w:rFonts w:ascii="Tahoma" w:hAnsi="Tahoma" w:cs="Tahoma"/>
                <w:sz w:val="20"/>
              </w:rPr>
              <w:t xml:space="preserve"> </w:t>
            </w:r>
            <w:hyperlink r:id="rId12" w:history="1">
              <w:r w:rsidR="1C6B042D" w:rsidRPr="005119E1">
                <w:rPr>
                  <w:rStyle w:val="Hyperlink"/>
                  <w:rFonts w:ascii="Tahoma" w:hAnsi="Tahoma" w:cs="Tahoma"/>
                  <w:sz w:val="20"/>
                </w:rPr>
                <w:t>1</w:t>
              </w:r>
              <w:r w:rsidR="00792823" w:rsidRPr="005119E1">
                <w:rPr>
                  <w:rStyle w:val="Hyperlink"/>
                  <w:rFonts w:ascii="Tahoma" w:hAnsi="Tahoma" w:cs="Tahoma"/>
                  <w:sz w:val="20"/>
                </w:rPr>
                <w:t xml:space="preserve"> ‘The Metering of Circuits with a Rated Capacity Exceeding 100 MVA for Settlement Purposes’</w:t>
              </w:r>
            </w:hyperlink>
            <w:r w:rsidR="1C6B042D" w:rsidRPr="005119E1">
              <w:rPr>
                <w:rFonts w:ascii="Tahoma" w:hAnsi="Tahoma" w:cs="Tahoma"/>
                <w:sz w:val="20"/>
              </w:rPr>
              <w:t xml:space="preserve"> and </w:t>
            </w:r>
            <w:hyperlink r:id="rId13" w:history="1">
              <w:r w:rsidR="1C6B042D" w:rsidRPr="005119E1">
                <w:rPr>
                  <w:rStyle w:val="Hyperlink"/>
                  <w:rFonts w:ascii="Tahoma" w:hAnsi="Tahoma" w:cs="Tahoma"/>
                  <w:sz w:val="20"/>
                </w:rPr>
                <w:t>2</w:t>
              </w:r>
              <w:r w:rsidR="00792823" w:rsidRPr="005119E1">
                <w:rPr>
                  <w:rStyle w:val="Hyperlink"/>
                  <w:rFonts w:ascii="Tahoma" w:hAnsi="Tahoma" w:cs="Tahoma"/>
                  <w:sz w:val="20"/>
                </w:rPr>
                <w:t xml:space="preserve"> ‘The Metering of Circuits with a Rated Capacity not exceeding 100 MVA for Settlement Purposes’</w:t>
              </w:r>
            </w:hyperlink>
            <w:r w:rsidR="00C93B0B" w:rsidRPr="005119E1">
              <w:rPr>
                <w:rFonts w:ascii="Tahoma" w:hAnsi="Tahoma" w:cs="Tahoma"/>
                <w:spacing w:val="-3"/>
                <w:sz w:val="20"/>
              </w:rPr>
              <w:t xml:space="preserve"> </w:t>
            </w:r>
            <w:r w:rsidR="00E10680" w:rsidRPr="005119E1">
              <w:rPr>
                <w:rFonts w:ascii="Tahoma" w:hAnsi="Tahoma" w:cs="Tahoma"/>
                <w:spacing w:val="-3"/>
                <w:sz w:val="20"/>
              </w:rPr>
              <w:t>around the technical requirements of the voltage alarm monitoring and whether it can or cannot be combined with other prevailing conditions before activating</w:t>
            </w:r>
            <w:r w:rsidR="00C93B0B" w:rsidRPr="005119E1">
              <w:rPr>
                <w:rFonts w:ascii="Tahoma" w:hAnsi="Tahoma" w:cs="Tahoma"/>
                <w:spacing w:val="-3"/>
                <w:sz w:val="20"/>
              </w:rPr>
              <w:t xml:space="preserve"> the phase failure alarms</w:t>
            </w:r>
            <w:r w:rsidR="006832DD" w:rsidRPr="005119E1">
              <w:rPr>
                <w:rFonts w:ascii="Tahoma" w:hAnsi="Tahoma" w:cs="Tahoma"/>
                <w:spacing w:val="-3"/>
                <w:sz w:val="20"/>
              </w:rPr>
              <w:t xml:space="preserve">. </w:t>
            </w:r>
          </w:p>
          <w:p w14:paraId="298BF9DD" w14:textId="6260D776" w:rsidR="00DF43CB" w:rsidRDefault="00C93B0B" w:rsidP="007C71BE">
            <w:pPr>
              <w:suppressAutoHyphens/>
              <w:spacing w:after="240"/>
              <w:jc w:val="both"/>
              <w:rPr>
                <w:rFonts w:ascii="Tahoma" w:hAnsi="Tahoma" w:cs="Tahoma"/>
                <w:sz w:val="20"/>
              </w:rPr>
            </w:pPr>
            <w:r w:rsidRPr="005119E1">
              <w:rPr>
                <w:rFonts w:ascii="Tahoma" w:hAnsi="Tahoma" w:cs="Tahoma"/>
                <w:spacing w:val="-3"/>
                <w:sz w:val="20"/>
              </w:rPr>
              <w:t xml:space="preserve">This lack of clarity recently led to a large </w:t>
            </w:r>
            <w:hyperlink r:id="rId14" w:history="1">
              <w:r w:rsidR="0806716C" w:rsidRPr="003850FD">
                <w:rPr>
                  <w:rStyle w:val="Hyperlink"/>
                  <w:rFonts w:ascii="Tahoma" w:hAnsi="Tahoma" w:cs="Tahoma"/>
                  <w:spacing w:val="-3"/>
                  <w:sz w:val="20"/>
                </w:rPr>
                <w:t>T</w:t>
              </w:r>
              <w:r w:rsidRPr="003850FD">
                <w:rPr>
                  <w:rStyle w:val="Hyperlink"/>
                  <w:rFonts w:ascii="Tahoma" w:hAnsi="Tahoma" w:cs="Tahoma"/>
                  <w:spacing w:val="-3"/>
                  <w:sz w:val="20"/>
                </w:rPr>
                <w:t xml:space="preserve">rading </w:t>
              </w:r>
              <w:r w:rsidR="09EEBAA2" w:rsidRPr="003850FD">
                <w:rPr>
                  <w:rStyle w:val="Hyperlink"/>
                  <w:rFonts w:ascii="Tahoma" w:hAnsi="Tahoma" w:cs="Tahoma"/>
                  <w:spacing w:val="-3"/>
                  <w:sz w:val="20"/>
                </w:rPr>
                <w:t>D</w:t>
              </w:r>
              <w:r w:rsidRPr="003850FD">
                <w:rPr>
                  <w:rStyle w:val="Hyperlink"/>
                  <w:rFonts w:ascii="Tahoma" w:hAnsi="Tahoma" w:cs="Tahoma"/>
                  <w:spacing w:val="-3"/>
                  <w:sz w:val="20"/>
                </w:rPr>
                <w:t>ispute</w:t>
              </w:r>
              <w:r w:rsidR="6AA4E6D3" w:rsidRPr="003850FD">
                <w:rPr>
                  <w:rStyle w:val="Hyperlink"/>
                  <w:rFonts w:ascii="Tahoma" w:hAnsi="Tahoma" w:cs="Tahoma"/>
                  <w:spacing w:val="-3"/>
                  <w:sz w:val="20"/>
                </w:rPr>
                <w:t xml:space="preserve">, </w:t>
              </w:r>
              <w:r w:rsidR="002C5B92" w:rsidRPr="003850FD">
                <w:rPr>
                  <w:rStyle w:val="Hyperlink"/>
                  <w:rFonts w:ascii="Tahoma" w:hAnsi="Tahoma" w:cs="Tahoma"/>
                  <w:sz w:val="20"/>
                </w:rPr>
                <w:t>DA1110</w:t>
              </w:r>
            </w:hyperlink>
            <w:r w:rsidR="002C5B92" w:rsidRPr="005119E1">
              <w:rPr>
                <w:rFonts w:ascii="Tahoma" w:hAnsi="Tahoma" w:cs="Tahoma"/>
                <w:sz w:val="20"/>
              </w:rPr>
              <w:t>, which</w:t>
            </w:r>
            <w:r w:rsidR="006C1AC9" w:rsidRPr="005119E1">
              <w:rPr>
                <w:rFonts w:ascii="Tahoma" w:hAnsi="Tahoma" w:cs="Tahoma"/>
                <w:sz w:val="20"/>
              </w:rPr>
              <w:t xml:space="preserve"> had a</w:t>
            </w:r>
            <w:r w:rsidR="004F10B6" w:rsidRPr="005119E1">
              <w:rPr>
                <w:rFonts w:ascii="Tahoma" w:hAnsi="Tahoma" w:cs="Tahoma"/>
                <w:sz w:val="20"/>
              </w:rPr>
              <w:t>n</w:t>
            </w:r>
            <w:r w:rsidR="006C1AC9" w:rsidRPr="005119E1">
              <w:rPr>
                <w:rFonts w:ascii="Tahoma" w:hAnsi="Tahoma" w:cs="Tahoma"/>
                <w:sz w:val="20"/>
              </w:rPr>
              <w:t xml:space="preserve"> impact of £</w:t>
            </w:r>
            <w:r w:rsidR="003850FD">
              <w:rPr>
                <w:rFonts w:ascii="Tahoma" w:hAnsi="Tahoma" w:cs="Tahoma"/>
                <w:sz w:val="20"/>
              </w:rPr>
              <w:t>12</w:t>
            </w:r>
            <w:r w:rsidR="006C1AC9" w:rsidRPr="005119E1">
              <w:rPr>
                <w:rFonts w:ascii="Tahoma" w:hAnsi="Tahoma" w:cs="Tahoma"/>
                <w:sz w:val="20"/>
              </w:rPr>
              <w:t xml:space="preserve"> million </w:t>
            </w:r>
            <w:r w:rsidR="004F10B6" w:rsidRPr="005119E1">
              <w:rPr>
                <w:rFonts w:ascii="Tahoma" w:hAnsi="Tahoma" w:cs="Tahoma"/>
                <w:sz w:val="20"/>
              </w:rPr>
              <w:t>on Settlement</w:t>
            </w:r>
            <w:r w:rsidR="002C5B92" w:rsidRPr="005119E1">
              <w:rPr>
                <w:rFonts w:ascii="Tahoma" w:hAnsi="Tahoma" w:cs="Tahoma"/>
                <w:sz w:val="20"/>
              </w:rPr>
              <w:t>.</w:t>
            </w:r>
            <w:r w:rsidR="002F137D" w:rsidRPr="005119E1">
              <w:rPr>
                <w:rFonts w:ascii="Tahoma" w:hAnsi="Tahoma" w:cs="Tahoma"/>
                <w:sz w:val="20"/>
              </w:rPr>
              <w:t xml:space="preserve"> A Meter Operator Agent (MOA) combined current monitoring and voltage monitoring such that the voltage failure alarm would not be triggered if a circuit was de-energised (i.e. no current and no voltage signals were present at the Settlement Meters). However, in this particular case, the secondary wiring from the measurement transformers to the Settlement M</w:t>
            </w:r>
            <w:r w:rsidR="00BD4C60" w:rsidRPr="005119E1">
              <w:rPr>
                <w:rFonts w:ascii="Tahoma" w:hAnsi="Tahoma" w:cs="Tahoma"/>
                <w:sz w:val="20"/>
              </w:rPr>
              <w:t>eters was</w:t>
            </w:r>
            <w:r w:rsidR="002F137D" w:rsidRPr="005119E1">
              <w:rPr>
                <w:rFonts w:ascii="Tahoma" w:hAnsi="Tahoma" w:cs="Tahoma"/>
                <w:sz w:val="20"/>
              </w:rPr>
              <w:t xml:space="preserve"> severed by a </w:t>
            </w:r>
            <w:r w:rsidR="00BD4C60" w:rsidRPr="005119E1">
              <w:rPr>
                <w:rFonts w:ascii="Tahoma" w:hAnsi="Tahoma" w:cs="Tahoma"/>
                <w:sz w:val="20"/>
              </w:rPr>
              <w:t>third-</w:t>
            </w:r>
            <w:r w:rsidR="002F137D" w:rsidRPr="005119E1">
              <w:rPr>
                <w:rFonts w:ascii="Tahoma" w:hAnsi="Tahoma" w:cs="Tahoma"/>
                <w:sz w:val="20"/>
              </w:rPr>
              <w:t xml:space="preserve">party contractor while the primary circuit remained energised. This </w:t>
            </w:r>
            <w:r w:rsidR="00BD4C60" w:rsidRPr="005119E1">
              <w:rPr>
                <w:rFonts w:ascii="Tahoma" w:hAnsi="Tahoma" w:cs="Tahoma"/>
                <w:sz w:val="20"/>
              </w:rPr>
              <w:t>resulted in</w:t>
            </w:r>
            <w:r w:rsidR="002F137D" w:rsidRPr="005119E1">
              <w:rPr>
                <w:rFonts w:ascii="Tahoma" w:hAnsi="Tahoma" w:cs="Tahoma"/>
                <w:sz w:val="20"/>
              </w:rPr>
              <w:t xml:space="preserve"> the Meter not recording a voltage failure alarm (because no current was</w:t>
            </w:r>
            <w:r w:rsidR="00BD4C60" w:rsidRPr="005119E1">
              <w:rPr>
                <w:rFonts w:ascii="Tahoma" w:hAnsi="Tahoma" w:cs="Tahoma"/>
                <w:sz w:val="20"/>
              </w:rPr>
              <w:t xml:space="preserve"> registered</w:t>
            </w:r>
            <w:r w:rsidR="002F137D" w:rsidRPr="005119E1">
              <w:rPr>
                <w:rFonts w:ascii="Tahoma" w:hAnsi="Tahoma" w:cs="Tahoma"/>
                <w:sz w:val="20"/>
              </w:rPr>
              <w:t>)</w:t>
            </w:r>
            <w:r w:rsidR="00BD4C60" w:rsidRPr="005119E1">
              <w:rPr>
                <w:rFonts w:ascii="Tahoma" w:hAnsi="Tahoma" w:cs="Tahoma"/>
                <w:sz w:val="20"/>
              </w:rPr>
              <w:t xml:space="preserve"> and</w:t>
            </w:r>
            <w:r w:rsidR="002F137D" w:rsidRPr="005119E1">
              <w:rPr>
                <w:rFonts w:ascii="Tahoma" w:hAnsi="Tahoma" w:cs="Tahoma"/>
                <w:sz w:val="20"/>
              </w:rPr>
              <w:t xml:space="preserve"> therefore</w:t>
            </w:r>
            <w:r w:rsidR="00BD4C60" w:rsidRPr="005119E1">
              <w:rPr>
                <w:rFonts w:ascii="Tahoma" w:hAnsi="Tahoma" w:cs="Tahoma"/>
                <w:sz w:val="20"/>
              </w:rPr>
              <w:t>,</w:t>
            </w:r>
            <w:r w:rsidR="002F137D" w:rsidRPr="005119E1">
              <w:rPr>
                <w:rFonts w:ascii="Tahoma" w:hAnsi="Tahoma" w:cs="Tahoma"/>
                <w:sz w:val="20"/>
              </w:rPr>
              <w:t xml:space="preserve"> </w:t>
            </w:r>
            <w:r w:rsidR="004F10B6" w:rsidRPr="005119E1">
              <w:rPr>
                <w:rFonts w:ascii="Tahoma" w:hAnsi="Tahoma" w:cs="Tahoma"/>
                <w:sz w:val="20"/>
              </w:rPr>
              <w:t>the Meter did not alert</w:t>
            </w:r>
            <w:r w:rsidR="002F137D" w:rsidRPr="005119E1">
              <w:rPr>
                <w:rFonts w:ascii="Tahoma" w:hAnsi="Tahoma" w:cs="Tahoma"/>
                <w:sz w:val="20"/>
              </w:rPr>
              <w:t xml:space="preserve"> the Central Data Collection Agent (CDCA) and the Registrant of the issue.</w:t>
            </w:r>
          </w:p>
          <w:p w14:paraId="2490707E" w14:textId="77777777" w:rsidR="005119E1" w:rsidRPr="005119E1" w:rsidRDefault="005119E1" w:rsidP="007C71BE">
            <w:pPr>
              <w:suppressAutoHyphens/>
              <w:spacing w:after="240"/>
              <w:jc w:val="both"/>
              <w:rPr>
                <w:rFonts w:ascii="Tahoma" w:hAnsi="Tahoma" w:cs="Tahoma"/>
                <w:sz w:val="20"/>
              </w:rPr>
            </w:pPr>
          </w:p>
          <w:p w14:paraId="30AEBC57" w14:textId="5838B745" w:rsidR="00C93B0B" w:rsidRPr="00CA69E7" w:rsidRDefault="00CA69E7" w:rsidP="3F564BE7">
            <w:pPr>
              <w:pStyle w:val="ListParagraph"/>
              <w:numPr>
                <w:ilvl w:val="0"/>
                <w:numId w:val="36"/>
              </w:numPr>
              <w:suppressAutoHyphens/>
              <w:spacing w:after="240"/>
              <w:jc w:val="both"/>
              <w:rPr>
                <w:rFonts w:ascii="Tahoma" w:hAnsi="Tahoma" w:cs="Tahoma"/>
                <w:spacing w:val="-3"/>
                <w:sz w:val="20"/>
                <w:u w:val="single"/>
              </w:rPr>
            </w:pPr>
            <w:r>
              <w:rPr>
                <w:rFonts w:ascii="Tahoma" w:hAnsi="Tahoma" w:cs="Tahoma"/>
                <w:spacing w:val="-3"/>
                <w:sz w:val="20"/>
                <w:u w:val="single"/>
              </w:rPr>
              <w:t xml:space="preserve">VT monitoring – obsolete </w:t>
            </w:r>
            <w:r w:rsidR="00C93B0B" w:rsidRPr="00CA69E7">
              <w:rPr>
                <w:rFonts w:ascii="Tahoma" w:hAnsi="Tahoma" w:cs="Tahoma"/>
                <w:spacing w:val="-3"/>
                <w:sz w:val="20"/>
                <w:u w:val="single"/>
              </w:rPr>
              <w:t xml:space="preserve"> requirements in the </w:t>
            </w:r>
            <w:r w:rsidR="00C93B0B" w:rsidRPr="00CA69E7">
              <w:rPr>
                <w:rFonts w:ascii="Tahoma" w:hAnsi="Tahoma" w:cs="Tahoma"/>
                <w:sz w:val="20"/>
                <w:u w:val="single"/>
              </w:rPr>
              <w:t>M</w:t>
            </w:r>
            <w:r w:rsidR="00C93B0B" w:rsidRPr="00CA69E7">
              <w:rPr>
                <w:rFonts w:ascii="Tahoma" w:hAnsi="Tahoma" w:cs="Tahoma"/>
                <w:spacing w:val="-3"/>
                <w:sz w:val="20"/>
                <w:u w:val="single"/>
              </w:rPr>
              <w:t xml:space="preserve">etering </w:t>
            </w:r>
            <w:proofErr w:type="spellStart"/>
            <w:r w:rsidR="00C93B0B" w:rsidRPr="00CA69E7">
              <w:rPr>
                <w:rFonts w:ascii="Tahoma" w:hAnsi="Tahoma" w:cs="Tahoma"/>
                <w:spacing w:val="-3"/>
                <w:sz w:val="20"/>
                <w:u w:val="single"/>
              </w:rPr>
              <w:t>CoPs</w:t>
            </w:r>
            <w:proofErr w:type="spellEnd"/>
            <w:r w:rsidR="00CB67E8" w:rsidRPr="00CA69E7">
              <w:rPr>
                <w:rFonts w:ascii="Tahoma" w:hAnsi="Tahoma" w:cs="Tahoma"/>
                <w:spacing w:val="-3"/>
                <w:sz w:val="20"/>
                <w:u w:val="single"/>
              </w:rPr>
              <w:t xml:space="preserve"> 1 and 2</w:t>
            </w:r>
          </w:p>
          <w:p w14:paraId="73263977" w14:textId="717408A5" w:rsidR="00C93B0B" w:rsidRPr="00CA69E7" w:rsidRDefault="00A93DD3" w:rsidP="004F10B6">
            <w:pPr>
              <w:suppressAutoHyphens/>
              <w:spacing w:after="240"/>
              <w:jc w:val="both"/>
              <w:rPr>
                <w:rFonts w:ascii="Tahoma" w:hAnsi="Tahoma" w:cs="Tahoma"/>
                <w:sz w:val="20"/>
              </w:rPr>
            </w:pPr>
            <w:r w:rsidRPr="00CA69E7">
              <w:rPr>
                <w:rFonts w:ascii="Tahoma" w:hAnsi="Tahoma" w:cs="Tahoma"/>
                <w:spacing w:val="-3"/>
                <w:sz w:val="20"/>
              </w:rPr>
              <w:t>The requirement to flag a phase failure</w:t>
            </w:r>
            <w:r w:rsidR="00304073" w:rsidRPr="00CA69E7">
              <w:rPr>
                <w:rFonts w:ascii="Tahoma" w:hAnsi="Tahoma" w:cs="Tahoma"/>
                <w:spacing w:val="-3"/>
                <w:sz w:val="20"/>
              </w:rPr>
              <w:t xml:space="preserve"> to a manned location in Section 5.1</w:t>
            </w:r>
            <w:r w:rsidR="004355FD" w:rsidRPr="00CA69E7">
              <w:rPr>
                <w:rFonts w:ascii="Tahoma" w:hAnsi="Tahoma" w:cs="Tahoma"/>
                <w:spacing w:val="-3"/>
                <w:sz w:val="20"/>
              </w:rPr>
              <w:t>.</w:t>
            </w:r>
            <w:r w:rsidR="00304073" w:rsidRPr="00CA69E7">
              <w:rPr>
                <w:rFonts w:ascii="Tahoma" w:hAnsi="Tahoma" w:cs="Tahoma"/>
                <w:spacing w:val="-3"/>
                <w:sz w:val="20"/>
              </w:rPr>
              <w:t xml:space="preserve">3 of </w:t>
            </w:r>
            <w:proofErr w:type="spellStart"/>
            <w:r w:rsidR="00304073" w:rsidRPr="00CA69E7">
              <w:rPr>
                <w:rFonts w:ascii="Tahoma" w:hAnsi="Tahoma" w:cs="Tahoma"/>
                <w:spacing w:val="-3"/>
                <w:sz w:val="20"/>
              </w:rPr>
              <w:t>CoPs</w:t>
            </w:r>
            <w:proofErr w:type="spellEnd"/>
            <w:r w:rsidR="00304073" w:rsidRPr="00CA69E7">
              <w:rPr>
                <w:rFonts w:ascii="Tahoma" w:hAnsi="Tahoma" w:cs="Tahoma"/>
                <w:spacing w:val="-3"/>
                <w:sz w:val="20"/>
              </w:rPr>
              <w:t xml:space="preserve"> 1 and 2 is not </w:t>
            </w:r>
            <w:r w:rsidR="00927367">
              <w:rPr>
                <w:rFonts w:ascii="Tahoma" w:hAnsi="Tahoma" w:cs="Tahoma"/>
                <w:spacing w:val="-3"/>
                <w:sz w:val="20"/>
              </w:rPr>
              <w:t>required as alarms logged in the</w:t>
            </w:r>
            <w:r w:rsidR="00DF43CB" w:rsidRPr="00CA69E7">
              <w:rPr>
                <w:rFonts w:ascii="Tahoma" w:hAnsi="Tahoma" w:cs="Tahoma"/>
                <w:spacing w:val="-3"/>
                <w:sz w:val="20"/>
              </w:rPr>
              <w:t xml:space="preserve"> </w:t>
            </w:r>
            <w:r w:rsidR="00927367">
              <w:rPr>
                <w:rFonts w:ascii="Tahoma" w:hAnsi="Tahoma" w:cs="Tahoma"/>
                <w:spacing w:val="-3"/>
                <w:sz w:val="20"/>
              </w:rPr>
              <w:t>Meter are downloaded to the relevant Data Collector daily and separate Outstations available in the market have the functionality to receive and store alarms that are accessible to the Data Collector.</w:t>
            </w:r>
            <w:r w:rsidR="00DF43CB" w:rsidRPr="00CA69E7">
              <w:rPr>
                <w:rFonts w:ascii="Tahoma" w:hAnsi="Tahoma" w:cs="Tahoma"/>
                <w:sz w:val="20"/>
              </w:rPr>
              <w:t xml:space="preserve"> </w:t>
            </w:r>
          </w:p>
          <w:p w14:paraId="195F0372" w14:textId="5F3F178D" w:rsidR="00DF43CB" w:rsidRPr="00CA69E7" w:rsidRDefault="00DF43CB" w:rsidP="004F10B6">
            <w:pPr>
              <w:suppressAutoHyphens/>
              <w:spacing w:after="240"/>
              <w:jc w:val="both"/>
              <w:rPr>
                <w:rFonts w:ascii="Tahoma" w:hAnsi="Tahoma" w:cs="Tahoma"/>
                <w:sz w:val="20"/>
              </w:rPr>
            </w:pPr>
            <w:r w:rsidRPr="00CA69E7">
              <w:rPr>
                <w:rFonts w:ascii="Tahoma" w:hAnsi="Tahoma" w:cs="Tahoma"/>
                <w:sz w:val="20"/>
              </w:rPr>
              <w:t>Phase alarms should be reported daily to the Central Data Collection Agent (CDCA), or the relevant Half Hourly Data Collector (HHDC), as applicable</w:t>
            </w:r>
            <w:r w:rsidR="000167DE" w:rsidRPr="00CA69E7">
              <w:rPr>
                <w:rFonts w:ascii="Tahoma" w:hAnsi="Tahoma" w:cs="Tahoma"/>
                <w:sz w:val="20"/>
              </w:rPr>
              <w:t>.</w:t>
            </w:r>
          </w:p>
          <w:p w14:paraId="2D0020AB" w14:textId="77777777" w:rsidR="00DF43CB" w:rsidRDefault="00DF43CB" w:rsidP="004F10B6">
            <w:pPr>
              <w:suppressAutoHyphens/>
              <w:spacing w:after="240"/>
              <w:jc w:val="both"/>
              <w:rPr>
                <w:rFonts w:ascii="Tahoma" w:hAnsi="Tahoma" w:cs="Tahoma"/>
                <w:sz w:val="20"/>
              </w:rPr>
            </w:pPr>
          </w:p>
          <w:p w14:paraId="109AA844" w14:textId="77777777" w:rsidR="005119E1" w:rsidRDefault="005119E1" w:rsidP="004F10B6">
            <w:pPr>
              <w:suppressAutoHyphens/>
              <w:spacing w:after="240"/>
              <w:jc w:val="both"/>
              <w:rPr>
                <w:rFonts w:ascii="Tahoma" w:hAnsi="Tahoma" w:cs="Tahoma"/>
                <w:sz w:val="20"/>
              </w:rPr>
            </w:pPr>
          </w:p>
          <w:p w14:paraId="485D63C9" w14:textId="2F7402C2" w:rsidR="005119E1" w:rsidRPr="00CA69E7" w:rsidRDefault="005119E1" w:rsidP="004F10B6">
            <w:pPr>
              <w:suppressAutoHyphens/>
              <w:spacing w:after="240"/>
              <w:jc w:val="both"/>
              <w:rPr>
                <w:rFonts w:ascii="Tahoma" w:hAnsi="Tahoma" w:cs="Tahoma"/>
                <w:sz w:val="20"/>
              </w:rPr>
            </w:pPr>
          </w:p>
        </w:tc>
      </w:tr>
      <w:tr w:rsidR="0054644A" w:rsidRPr="00CA69E7" w14:paraId="3CEED018"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125D4A97" w14:textId="77777777" w:rsidR="00CA69E7" w:rsidRPr="00CA69E7" w:rsidRDefault="00CA69E7">
            <w:pPr>
              <w:suppressAutoHyphens/>
              <w:jc w:val="both"/>
              <w:rPr>
                <w:rFonts w:ascii="Tahoma" w:hAnsi="Tahoma" w:cs="Tahoma"/>
                <w:b/>
                <w:spacing w:val="-3"/>
                <w:sz w:val="20"/>
              </w:rPr>
            </w:pPr>
          </w:p>
          <w:p w14:paraId="0400D80F" w14:textId="77777777" w:rsidR="00CA69E7" w:rsidRDefault="00CA69E7">
            <w:pPr>
              <w:suppressAutoHyphens/>
              <w:jc w:val="both"/>
              <w:rPr>
                <w:rFonts w:ascii="Tahoma" w:hAnsi="Tahoma" w:cs="Tahoma"/>
                <w:b/>
                <w:spacing w:val="-3"/>
                <w:sz w:val="20"/>
              </w:rPr>
            </w:pPr>
          </w:p>
          <w:p w14:paraId="7B45B99E" w14:textId="40C0B08D" w:rsidR="0054644A" w:rsidRPr="00CA69E7" w:rsidRDefault="00D53593">
            <w:pPr>
              <w:suppressAutoHyphens/>
              <w:jc w:val="both"/>
              <w:rPr>
                <w:rFonts w:ascii="Tahoma" w:hAnsi="Tahoma" w:cs="Tahoma"/>
                <w:spacing w:val="-3"/>
                <w:sz w:val="20"/>
              </w:rPr>
            </w:pPr>
            <w:r w:rsidRPr="00CA69E7">
              <w:rPr>
                <w:rFonts w:ascii="Tahoma" w:hAnsi="Tahoma" w:cs="Tahoma"/>
                <w:b/>
                <w:spacing w:val="-3"/>
                <w:sz w:val="20"/>
              </w:rPr>
              <w:t>Proposed Solution (</w:t>
            </w:r>
            <w:r w:rsidRPr="00CA69E7">
              <w:rPr>
                <w:rFonts w:ascii="Tahoma" w:hAnsi="Tahoma" w:cs="Tahoma"/>
                <w:spacing w:val="-3"/>
                <w:sz w:val="20"/>
              </w:rPr>
              <w:t>mandatory by originator)</w:t>
            </w:r>
          </w:p>
        </w:tc>
      </w:tr>
      <w:tr w:rsidR="0054644A" w:rsidRPr="00CA69E7" w14:paraId="1C56722F"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30B1FF90" w14:textId="77777777" w:rsidR="0054644A" w:rsidRPr="00CA69E7" w:rsidRDefault="0054644A" w:rsidP="007C71BE">
            <w:pPr>
              <w:suppressAutoHyphens/>
              <w:spacing w:after="240"/>
              <w:jc w:val="both"/>
              <w:rPr>
                <w:rFonts w:ascii="Tahoma" w:hAnsi="Tahoma" w:cs="Tahoma"/>
                <w:spacing w:val="-3"/>
                <w:sz w:val="20"/>
              </w:rPr>
            </w:pPr>
          </w:p>
          <w:p w14:paraId="37A5FECC" w14:textId="77777777" w:rsidR="00304073" w:rsidRPr="00CA69E7" w:rsidRDefault="00304073" w:rsidP="004355FD">
            <w:pPr>
              <w:pStyle w:val="ListParagraph"/>
              <w:numPr>
                <w:ilvl w:val="0"/>
                <w:numId w:val="37"/>
              </w:numPr>
              <w:suppressAutoHyphens/>
              <w:spacing w:after="240"/>
              <w:rPr>
                <w:rFonts w:ascii="Tahoma" w:hAnsi="Tahoma" w:cs="Tahoma"/>
                <w:spacing w:val="-3"/>
                <w:sz w:val="20"/>
                <w:u w:val="single"/>
              </w:rPr>
            </w:pPr>
            <w:r w:rsidRPr="00CA69E7">
              <w:rPr>
                <w:rFonts w:ascii="Tahoma" w:hAnsi="Tahoma" w:cs="Tahoma"/>
                <w:spacing w:val="-3"/>
                <w:sz w:val="20"/>
                <w:u w:val="single"/>
              </w:rPr>
              <w:t xml:space="preserve">Metering </w:t>
            </w:r>
            <w:proofErr w:type="spellStart"/>
            <w:r w:rsidRPr="00CA69E7">
              <w:rPr>
                <w:rFonts w:ascii="Tahoma" w:hAnsi="Tahoma" w:cs="Tahoma"/>
                <w:spacing w:val="-3"/>
                <w:sz w:val="20"/>
                <w:u w:val="single"/>
              </w:rPr>
              <w:t>CoPs</w:t>
            </w:r>
            <w:proofErr w:type="spellEnd"/>
            <w:r w:rsidRPr="00CA69E7">
              <w:rPr>
                <w:rFonts w:ascii="Tahoma" w:hAnsi="Tahoma" w:cs="Tahoma"/>
                <w:spacing w:val="-3"/>
                <w:sz w:val="20"/>
                <w:u w:val="single"/>
              </w:rPr>
              <w:t xml:space="preserve"> 1 and 2 lack clarity in the phase failure alarm requirements</w:t>
            </w:r>
          </w:p>
          <w:p w14:paraId="762C9686" w14:textId="5346DA85" w:rsidR="00304073" w:rsidRPr="00CA69E7" w:rsidRDefault="00304073" w:rsidP="007C71BE">
            <w:pPr>
              <w:suppressAutoHyphens/>
              <w:spacing w:after="240"/>
              <w:jc w:val="both"/>
              <w:rPr>
                <w:rFonts w:ascii="Tahoma" w:hAnsi="Tahoma" w:cs="Tahoma"/>
                <w:sz w:val="20"/>
              </w:rPr>
            </w:pPr>
            <w:r w:rsidRPr="00CA69E7">
              <w:rPr>
                <w:rFonts w:ascii="Tahoma" w:hAnsi="Tahoma" w:cs="Tahoma"/>
                <w:spacing w:val="-3"/>
                <w:sz w:val="20"/>
              </w:rPr>
              <w:t xml:space="preserve">Update the metering </w:t>
            </w:r>
            <w:proofErr w:type="spellStart"/>
            <w:r w:rsidRPr="00CA69E7">
              <w:rPr>
                <w:rFonts w:ascii="Tahoma" w:hAnsi="Tahoma" w:cs="Tahoma"/>
                <w:spacing w:val="-3"/>
                <w:sz w:val="20"/>
              </w:rPr>
              <w:t>CoPs</w:t>
            </w:r>
            <w:proofErr w:type="spellEnd"/>
            <w:r w:rsidRPr="00CA69E7">
              <w:rPr>
                <w:rFonts w:ascii="Tahoma" w:hAnsi="Tahoma" w:cs="Tahoma"/>
                <w:spacing w:val="-3"/>
                <w:sz w:val="20"/>
              </w:rPr>
              <w:t xml:space="preserve"> 1 and 2 to clarify that an alarm should be flagged if one phase, a combination of phase</w:t>
            </w:r>
            <w:r w:rsidR="0069725D" w:rsidRPr="00CA69E7">
              <w:rPr>
                <w:rFonts w:ascii="Tahoma" w:hAnsi="Tahoma" w:cs="Tahoma"/>
                <w:sz w:val="20"/>
              </w:rPr>
              <w:t>s</w:t>
            </w:r>
            <w:r w:rsidRPr="00CA69E7">
              <w:rPr>
                <w:rFonts w:ascii="Tahoma" w:hAnsi="Tahoma" w:cs="Tahoma"/>
                <w:spacing w:val="-3"/>
                <w:sz w:val="20"/>
              </w:rPr>
              <w:t>, or all phase</w:t>
            </w:r>
            <w:r w:rsidR="00A8283E" w:rsidRPr="00CA69E7">
              <w:rPr>
                <w:rFonts w:ascii="Tahoma" w:hAnsi="Tahoma" w:cs="Tahoma"/>
                <w:sz w:val="20"/>
              </w:rPr>
              <w:t>s</w:t>
            </w:r>
            <w:r w:rsidRPr="00CA69E7">
              <w:rPr>
                <w:rFonts w:ascii="Tahoma" w:hAnsi="Tahoma" w:cs="Tahoma"/>
                <w:spacing w:val="-3"/>
                <w:sz w:val="20"/>
              </w:rPr>
              <w:t xml:space="preserve"> go down.</w:t>
            </w:r>
            <w:r w:rsidR="00D93AB1" w:rsidRPr="00CA69E7">
              <w:rPr>
                <w:rFonts w:ascii="Tahoma" w:hAnsi="Tahoma" w:cs="Tahoma"/>
                <w:spacing w:val="-3"/>
                <w:sz w:val="20"/>
              </w:rPr>
              <w:t xml:space="preserve"> Also, the phase failure alarm must be dedicated to the monitoring of voltage transformer</w:t>
            </w:r>
            <w:r w:rsidR="00927367">
              <w:rPr>
                <w:rFonts w:ascii="Tahoma" w:hAnsi="Tahoma" w:cs="Tahoma"/>
                <w:spacing w:val="-3"/>
                <w:sz w:val="20"/>
              </w:rPr>
              <w:t>s</w:t>
            </w:r>
            <w:r w:rsidR="00D93AB1" w:rsidRPr="00CA69E7">
              <w:rPr>
                <w:rFonts w:ascii="Tahoma" w:hAnsi="Tahoma" w:cs="Tahoma"/>
                <w:spacing w:val="-3"/>
                <w:sz w:val="20"/>
              </w:rPr>
              <w:t xml:space="preserve"> and not combined with any other monitoring of prevailing conditions (such as an alarm monitoring for the condition where the</w:t>
            </w:r>
            <w:r w:rsidR="00927367">
              <w:rPr>
                <w:rFonts w:ascii="Tahoma" w:hAnsi="Tahoma" w:cs="Tahoma"/>
                <w:spacing w:val="-3"/>
                <w:sz w:val="20"/>
              </w:rPr>
              <w:t>r</w:t>
            </w:r>
            <w:r w:rsidR="00D93AB1" w:rsidRPr="00CA69E7">
              <w:rPr>
                <w:rFonts w:ascii="Tahoma" w:hAnsi="Tahoma" w:cs="Tahoma"/>
                <w:spacing w:val="-3"/>
                <w:sz w:val="20"/>
              </w:rPr>
              <w:t>e is current being seen by the Meter but no voltage).</w:t>
            </w:r>
          </w:p>
          <w:p w14:paraId="78EE47AE" w14:textId="7D9D27BE" w:rsidR="00304073" w:rsidRPr="00CA69E7" w:rsidRDefault="00304073" w:rsidP="3F564BE7">
            <w:pPr>
              <w:pStyle w:val="ListParagraph"/>
              <w:numPr>
                <w:ilvl w:val="0"/>
                <w:numId w:val="37"/>
              </w:numPr>
              <w:suppressAutoHyphens/>
              <w:spacing w:after="240"/>
              <w:jc w:val="both"/>
              <w:rPr>
                <w:rFonts w:ascii="Tahoma" w:hAnsi="Tahoma" w:cs="Tahoma"/>
                <w:spacing w:val="-3"/>
                <w:sz w:val="20"/>
                <w:u w:val="single"/>
              </w:rPr>
            </w:pPr>
            <w:r w:rsidRPr="00CA69E7">
              <w:rPr>
                <w:rFonts w:ascii="Tahoma" w:hAnsi="Tahoma" w:cs="Tahoma"/>
                <w:spacing w:val="-3"/>
                <w:sz w:val="20"/>
                <w:u w:val="single"/>
              </w:rPr>
              <w:t xml:space="preserve">Outdated requirements in the </w:t>
            </w:r>
            <w:r w:rsidRPr="00CA69E7">
              <w:rPr>
                <w:rFonts w:ascii="Tahoma" w:hAnsi="Tahoma" w:cs="Tahoma"/>
                <w:sz w:val="20"/>
                <w:u w:val="single"/>
              </w:rPr>
              <w:t>M</w:t>
            </w:r>
            <w:r w:rsidRPr="00CA69E7">
              <w:rPr>
                <w:rFonts w:ascii="Tahoma" w:hAnsi="Tahoma" w:cs="Tahoma"/>
                <w:spacing w:val="-3"/>
                <w:sz w:val="20"/>
                <w:u w:val="single"/>
              </w:rPr>
              <w:t xml:space="preserve">etering </w:t>
            </w:r>
            <w:proofErr w:type="spellStart"/>
            <w:r w:rsidRPr="00CA69E7">
              <w:rPr>
                <w:rFonts w:ascii="Tahoma" w:hAnsi="Tahoma" w:cs="Tahoma"/>
                <w:spacing w:val="-3"/>
                <w:sz w:val="20"/>
                <w:u w:val="single"/>
              </w:rPr>
              <w:t>CoPs</w:t>
            </w:r>
            <w:proofErr w:type="spellEnd"/>
            <w:r w:rsidRPr="00CA69E7">
              <w:rPr>
                <w:rFonts w:ascii="Tahoma" w:hAnsi="Tahoma" w:cs="Tahoma"/>
                <w:spacing w:val="-3"/>
                <w:sz w:val="20"/>
                <w:u w:val="single"/>
              </w:rPr>
              <w:t xml:space="preserve"> 1 and 2</w:t>
            </w:r>
          </w:p>
          <w:p w14:paraId="5BBC8991" w14:textId="17E21711" w:rsidR="00304073" w:rsidRPr="00CA69E7" w:rsidRDefault="00E77CB6" w:rsidP="00E77CB6">
            <w:pPr>
              <w:suppressAutoHyphens/>
              <w:spacing w:after="240"/>
              <w:jc w:val="both"/>
              <w:rPr>
                <w:rFonts w:ascii="Tahoma" w:hAnsi="Tahoma" w:cs="Tahoma"/>
                <w:sz w:val="20"/>
              </w:rPr>
            </w:pPr>
            <w:r w:rsidRPr="00CA69E7">
              <w:rPr>
                <w:rFonts w:ascii="Tahoma" w:hAnsi="Tahoma" w:cs="Tahoma"/>
                <w:spacing w:val="-3"/>
                <w:sz w:val="20"/>
              </w:rPr>
              <w:t>Remove th</w:t>
            </w:r>
            <w:r w:rsidR="70C1B715" w:rsidRPr="00CA69E7">
              <w:rPr>
                <w:rFonts w:ascii="Tahoma" w:hAnsi="Tahoma" w:cs="Tahoma"/>
                <w:spacing w:val="-3"/>
                <w:sz w:val="20"/>
              </w:rPr>
              <w:t xml:space="preserve">e following </w:t>
            </w:r>
            <w:r w:rsidRPr="00CA69E7">
              <w:rPr>
                <w:rFonts w:ascii="Tahoma" w:hAnsi="Tahoma" w:cs="Tahoma"/>
                <w:spacing w:val="-3"/>
                <w:sz w:val="20"/>
              </w:rPr>
              <w:t>requirement to flag a phase failure alarm to a manned location</w:t>
            </w:r>
            <w:r w:rsidR="00616770" w:rsidRPr="00CA69E7">
              <w:rPr>
                <w:rFonts w:ascii="Tahoma" w:hAnsi="Tahoma" w:cs="Tahoma"/>
                <w:spacing w:val="-3"/>
                <w:sz w:val="20"/>
              </w:rPr>
              <w:t xml:space="preserve"> so that all phase failures are reported in the </w:t>
            </w:r>
            <w:r w:rsidR="0C09E1FF" w:rsidRPr="00CA69E7">
              <w:rPr>
                <w:rFonts w:ascii="Tahoma" w:hAnsi="Tahoma" w:cs="Tahoma"/>
                <w:spacing w:val="-3"/>
                <w:sz w:val="20"/>
              </w:rPr>
              <w:t>O</w:t>
            </w:r>
            <w:r w:rsidR="00616770" w:rsidRPr="00CA69E7">
              <w:rPr>
                <w:rFonts w:ascii="Tahoma" w:hAnsi="Tahoma" w:cs="Tahoma"/>
                <w:spacing w:val="-3"/>
                <w:sz w:val="20"/>
              </w:rPr>
              <w:t>utstation for the CDCA</w:t>
            </w:r>
            <w:r w:rsidR="44CC62EE" w:rsidRPr="00CA69E7">
              <w:rPr>
                <w:rFonts w:ascii="Tahoma" w:hAnsi="Tahoma" w:cs="Tahoma"/>
                <w:spacing w:val="-3"/>
                <w:sz w:val="20"/>
              </w:rPr>
              <w:t>,</w:t>
            </w:r>
            <w:r w:rsidR="00616770" w:rsidRPr="00CA69E7">
              <w:rPr>
                <w:rFonts w:ascii="Tahoma" w:hAnsi="Tahoma" w:cs="Tahoma"/>
                <w:spacing w:val="-3"/>
                <w:sz w:val="20"/>
              </w:rPr>
              <w:t xml:space="preserve"> </w:t>
            </w:r>
            <w:r w:rsidR="7D99C01A" w:rsidRPr="00CA69E7">
              <w:rPr>
                <w:rFonts w:ascii="Tahoma" w:hAnsi="Tahoma" w:cs="Tahoma"/>
                <w:spacing w:val="-3"/>
                <w:sz w:val="20"/>
              </w:rPr>
              <w:t xml:space="preserve">or </w:t>
            </w:r>
            <w:r w:rsidR="00357521" w:rsidRPr="00CA69E7">
              <w:rPr>
                <w:rFonts w:ascii="Tahoma" w:hAnsi="Tahoma" w:cs="Tahoma"/>
                <w:spacing w:val="-3"/>
                <w:sz w:val="20"/>
              </w:rPr>
              <w:t>HHDC</w:t>
            </w:r>
            <w:r w:rsidR="5805C74F" w:rsidRPr="00CA69E7">
              <w:rPr>
                <w:rFonts w:ascii="Tahoma" w:hAnsi="Tahoma" w:cs="Tahoma"/>
                <w:spacing w:val="-3"/>
                <w:sz w:val="20"/>
              </w:rPr>
              <w:t>,</w:t>
            </w:r>
            <w:r w:rsidR="00357521" w:rsidRPr="00CA69E7">
              <w:rPr>
                <w:rFonts w:ascii="Tahoma" w:hAnsi="Tahoma" w:cs="Tahoma"/>
                <w:spacing w:val="-3"/>
                <w:sz w:val="20"/>
              </w:rPr>
              <w:t xml:space="preserve"> to see and </w:t>
            </w:r>
            <w:r w:rsidR="597795E0" w:rsidRPr="00CA69E7">
              <w:rPr>
                <w:rFonts w:ascii="Tahoma" w:hAnsi="Tahoma" w:cs="Tahoma"/>
                <w:spacing w:val="-3"/>
                <w:sz w:val="20"/>
              </w:rPr>
              <w:t>alert the Registrant</w:t>
            </w:r>
            <w:r w:rsidR="00F10657" w:rsidRPr="00CA69E7">
              <w:rPr>
                <w:rFonts w:ascii="Tahoma" w:hAnsi="Tahoma" w:cs="Tahoma"/>
                <w:spacing w:val="-3"/>
                <w:sz w:val="20"/>
              </w:rPr>
              <w:t>.</w:t>
            </w:r>
          </w:p>
          <w:p w14:paraId="6840E322" w14:textId="3299F126" w:rsidR="00304073" w:rsidRPr="00CA69E7" w:rsidRDefault="00304073" w:rsidP="3F564BE7">
            <w:pPr>
              <w:suppressAutoHyphens/>
              <w:spacing w:after="240"/>
              <w:jc w:val="both"/>
              <w:rPr>
                <w:rFonts w:ascii="Tahoma" w:hAnsi="Tahoma" w:cs="Tahoma"/>
                <w:spacing w:val="-3"/>
                <w:sz w:val="20"/>
              </w:rPr>
            </w:pPr>
          </w:p>
        </w:tc>
      </w:tr>
      <w:tr w:rsidR="0054644A" w:rsidRPr="00CA69E7" w14:paraId="02E6F43B"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3B673EF4" w14:textId="77777777" w:rsidR="0054644A" w:rsidRPr="00CA69E7" w:rsidRDefault="00D53593">
            <w:pPr>
              <w:suppressAutoHyphens/>
              <w:jc w:val="both"/>
              <w:rPr>
                <w:rFonts w:ascii="Tahoma" w:hAnsi="Tahoma" w:cs="Tahoma"/>
                <w:spacing w:val="-3"/>
                <w:sz w:val="20"/>
              </w:rPr>
            </w:pPr>
            <w:r w:rsidRPr="00CA69E7">
              <w:rPr>
                <w:rFonts w:ascii="Tahoma" w:hAnsi="Tahoma" w:cs="Tahoma"/>
                <w:b/>
                <w:spacing w:val="-3"/>
                <w:sz w:val="20"/>
              </w:rPr>
              <w:t xml:space="preserve">Justification for Change </w:t>
            </w:r>
            <w:r w:rsidRPr="00CA69E7">
              <w:rPr>
                <w:rFonts w:ascii="Tahoma" w:hAnsi="Tahoma" w:cs="Tahoma"/>
                <w:spacing w:val="-3"/>
                <w:sz w:val="20"/>
              </w:rPr>
              <w:t>(mandatory by originator)</w:t>
            </w:r>
          </w:p>
        </w:tc>
      </w:tr>
      <w:tr w:rsidR="0054644A" w:rsidRPr="00CA69E7" w14:paraId="7937DAFB"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26F99C05" w14:textId="353954AA" w:rsidR="00BD1E53" w:rsidRPr="00CA69E7" w:rsidRDefault="004355FD" w:rsidP="00BD1E53">
            <w:pPr>
              <w:suppressAutoHyphens/>
              <w:spacing w:after="240"/>
              <w:jc w:val="both"/>
              <w:rPr>
                <w:rFonts w:ascii="Tahoma" w:hAnsi="Tahoma" w:cs="Tahoma"/>
                <w:spacing w:val="-3"/>
                <w:sz w:val="20"/>
              </w:rPr>
            </w:pPr>
            <w:r w:rsidRPr="00CA69E7">
              <w:rPr>
                <w:rFonts w:ascii="Tahoma" w:hAnsi="Tahoma" w:cs="Tahoma"/>
                <w:spacing w:val="-3"/>
                <w:sz w:val="20"/>
              </w:rPr>
              <w:t>This change will enable the</w:t>
            </w:r>
            <w:r w:rsidR="00094A37" w:rsidRPr="00CA69E7">
              <w:rPr>
                <w:rFonts w:ascii="Tahoma" w:hAnsi="Tahoma" w:cs="Tahoma"/>
                <w:spacing w:val="-3"/>
                <w:sz w:val="20"/>
              </w:rPr>
              <w:t xml:space="preserve"> </w:t>
            </w:r>
            <w:r w:rsidR="71C2EAFB" w:rsidRPr="00CA69E7">
              <w:rPr>
                <w:rFonts w:ascii="Tahoma" w:hAnsi="Tahoma" w:cs="Tahoma"/>
                <w:sz w:val="20"/>
              </w:rPr>
              <w:t xml:space="preserve">CDCA, or </w:t>
            </w:r>
            <w:r w:rsidR="00600D64" w:rsidRPr="00CA69E7">
              <w:rPr>
                <w:rFonts w:ascii="Tahoma" w:hAnsi="Tahoma" w:cs="Tahoma"/>
                <w:sz w:val="20"/>
              </w:rPr>
              <w:t xml:space="preserve">relevant </w:t>
            </w:r>
            <w:r w:rsidR="6B187E0E" w:rsidRPr="00CA69E7">
              <w:rPr>
                <w:rFonts w:ascii="Tahoma" w:hAnsi="Tahoma" w:cs="Tahoma"/>
                <w:sz w:val="20"/>
              </w:rPr>
              <w:t>HHDC</w:t>
            </w:r>
            <w:r w:rsidR="422280C0" w:rsidRPr="00CA69E7">
              <w:rPr>
                <w:rFonts w:ascii="Tahoma" w:hAnsi="Tahoma" w:cs="Tahoma"/>
                <w:sz w:val="20"/>
              </w:rPr>
              <w:t>,</w:t>
            </w:r>
            <w:r w:rsidR="00600D64" w:rsidRPr="00CA69E7">
              <w:rPr>
                <w:rFonts w:ascii="Tahoma" w:hAnsi="Tahoma" w:cs="Tahoma"/>
                <w:spacing w:val="-3"/>
                <w:sz w:val="20"/>
              </w:rPr>
              <w:t xml:space="preserve"> to report phase failure alarms </w:t>
            </w:r>
            <w:r w:rsidR="00FB165D" w:rsidRPr="00CA69E7">
              <w:rPr>
                <w:rFonts w:ascii="Tahoma" w:hAnsi="Tahoma" w:cs="Tahoma"/>
                <w:spacing w:val="-3"/>
                <w:sz w:val="20"/>
              </w:rPr>
              <w:t>to</w:t>
            </w:r>
            <w:r w:rsidR="00600D64" w:rsidRPr="00CA69E7">
              <w:rPr>
                <w:rFonts w:ascii="Tahoma" w:hAnsi="Tahoma" w:cs="Tahoma"/>
                <w:spacing w:val="-3"/>
                <w:sz w:val="20"/>
              </w:rPr>
              <w:t xml:space="preserve"> </w:t>
            </w:r>
            <w:r w:rsidR="00FB165D" w:rsidRPr="00CA69E7">
              <w:rPr>
                <w:rFonts w:ascii="Tahoma" w:hAnsi="Tahoma" w:cs="Tahoma"/>
                <w:spacing w:val="-3"/>
                <w:sz w:val="20"/>
              </w:rPr>
              <w:t>Registrants of Metering systems and their MOA</w:t>
            </w:r>
            <w:r w:rsidR="00404D88" w:rsidRPr="00CA69E7">
              <w:rPr>
                <w:rFonts w:ascii="Tahoma" w:hAnsi="Tahoma" w:cs="Tahoma"/>
                <w:spacing w:val="-3"/>
                <w:sz w:val="20"/>
              </w:rPr>
              <w:t xml:space="preserve">s. MOAs will be able to investigate phase failures </w:t>
            </w:r>
            <w:r w:rsidR="00936E1C" w:rsidRPr="00CA69E7">
              <w:rPr>
                <w:rFonts w:ascii="Tahoma" w:hAnsi="Tahoma" w:cs="Tahoma"/>
                <w:spacing w:val="-3"/>
                <w:sz w:val="20"/>
              </w:rPr>
              <w:t xml:space="preserve">and </w:t>
            </w:r>
            <w:r w:rsidR="00FB165D" w:rsidRPr="00CA69E7">
              <w:rPr>
                <w:rFonts w:ascii="Tahoma" w:hAnsi="Tahoma" w:cs="Tahoma"/>
                <w:spacing w:val="-3"/>
                <w:sz w:val="20"/>
              </w:rPr>
              <w:t>with the help of the owner of the voltage transformer (VT)</w:t>
            </w:r>
            <w:r w:rsidR="00936E1C" w:rsidRPr="00CA69E7">
              <w:rPr>
                <w:rFonts w:ascii="Tahoma" w:hAnsi="Tahoma" w:cs="Tahoma"/>
                <w:spacing w:val="-3"/>
                <w:sz w:val="20"/>
              </w:rPr>
              <w:t>,</w:t>
            </w:r>
            <w:r w:rsidR="00FB165D" w:rsidRPr="00CA69E7">
              <w:rPr>
                <w:rFonts w:ascii="Tahoma" w:hAnsi="Tahoma" w:cs="Tahoma"/>
                <w:spacing w:val="-3"/>
                <w:sz w:val="20"/>
              </w:rPr>
              <w:t xml:space="preserve"> resolve them</w:t>
            </w:r>
            <w:r w:rsidR="007363C4" w:rsidRPr="00CA69E7">
              <w:rPr>
                <w:rFonts w:ascii="Tahoma" w:hAnsi="Tahoma" w:cs="Tahoma"/>
                <w:spacing w:val="-3"/>
                <w:sz w:val="20"/>
              </w:rPr>
              <w:t>.</w:t>
            </w:r>
          </w:p>
          <w:p w14:paraId="713429E3" w14:textId="54C37F1F" w:rsidR="0054644A" w:rsidRPr="00CA69E7" w:rsidRDefault="005119E1" w:rsidP="00BD1E53">
            <w:pPr>
              <w:suppressAutoHyphens/>
              <w:spacing w:after="240"/>
              <w:jc w:val="both"/>
              <w:rPr>
                <w:rFonts w:ascii="Tahoma" w:hAnsi="Tahoma" w:cs="Tahoma"/>
                <w:sz w:val="20"/>
              </w:rPr>
            </w:pPr>
            <w:r>
              <w:rPr>
                <w:rFonts w:ascii="Tahoma" w:hAnsi="Tahoma" w:cs="Tahoma"/>
                <w:spacing w:val="-3"/>
                <w:sz w:val="20"/>
              </w:rPr>
              <w:t>Additionally,  specifying that alarms should be flagged if one phase, a combination of phases, or all phases go down and phase failure alarms must be dedicated to voltage transformer monitoring, the risk of a large Trading Dispute similar to Dispute DA1110 from occurring in the future, will be lowered.</w:t>
            </w:r>
          </w:p>
        </w:tc>
      </w:tr>
      <w:tr w:rsidR="0054644A" w:rsidRPr="005119E1" w14:paraId="0D5CA8F1"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6ED8C724" w14:textId="77777777" w:rsidR="0054644A" w:rsidRPr="005119E1" w:rsidRDefault="00D53593">
            <w:pPr>
              <w:suppressAutoHyphens/>
              <w:jc w:val="both"/>
              <w:rPr>
                <w:rFonts w:ascii="Tahoma" w:hAnsi="Tahoma" w:cs="Tahoma"/>
                <w:spacing w:val="-3"/>
                <w:sz w:val="20"/>
              </w:rPr>
            </w:pPr>
            <w:r w:rsidRPr="005119E1">
              <w:rPr>
                <w:rFonts w:ascii="Tahoma" w:hAnsi="Tahoma" w:cs="Tahoma"/>
                <w:b/>
                <w:spacing w:val="-3"/>
                <w:sz w:val="20"/>
              </w:rPr>
              <w:t xml:space="preserve">To which section of the Code does the CP relate, and does the CP facilitate the current provisions of the Code? </w:t>
            </w:r>
            <w:r w:rsidRPr="005119E1">
              <w:rPr>
                <w:rFonts w:ascii="Tahoma" w:hAnsi="Tahoma" w:cs="Tahoma"/>
                <w:spacing w:val="-3"/>
                <w:sz w:val="20"/>
              </w:rPr>
              <w:t>(mandatory by originator)</w:t>
            </w:r>
          </w:p>
        </w:tc>
      </w:tr>
      <w:tr w:rsidR="0054644A" w:rsidRPr="005119E1" w14:paraId="788673FD"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36C9D894" w14:textId="5A17B53D" w:rsidR="0054644A" w:rsidRPr="005119E1" w:rsidRDefault="007A4D9B" w:rsidP="00B35028">
            <w:pPr>
              <w:suppressAutoHyphens/>
              <w:spacing w:after="240"/>
              <w:jc w:val="both"/>
              <w:rPr>
                <w:rFonts w:ascii="Tahoma" w:hAnsi="Tahoma" w:cs="Tahoma"/>
                <w:sz w:val="20"/>
              </w:rPr>
            </w:pPr>
            <w:hyperlink r:id="rId15" w:history="1">
              <w:r w:rsidR="00C25ED3" w:rsidRPr="005119E1">
                <w:rPr>
                  <w:rStyle w:val="Hyperlink"/>
                  <w:rFonts w:ascii="Tahoma" w:hAnsi="Tahoma" w:cs="Tahoma"/>
                  <w:sz w:val="20"/>
                </w:rPr>
                <w:t>BSC Section L ‘Metering’</w:t>
              </w:r>
            </w:hyperlink>
          </w:p>
        </w:tc>
      </w:tr>
      <w:tr w:rsidR="0054644A" w:rsidRPr="005119E1" w14:paraId="3AA70F99"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591CA306" w14:textId="77777777" w:rsidR="0054644A" w:rsidRPr="005119E1" w:rsidRDefault="00D53593">
            <w:pPr>
              <w:suppressAutoHyphens/>
              <w:jc w:val="both"/>
              <w:rPr>
                <w:rFonts w:ascii="Tahoma" w:hAnsi="Tahoma" w:cs="Tahoma"/>
                <w:b/>
                <w:spacing w:val="-3"/>
                <w:sz w:val="20"/>
              </w:rPr>
            </w:pPr>
            <w:r w:rsidRPr="005119E1">
              <w:rPr>
                <w:rFonts w:ascii="Tahoma" w:hAnsi="Tahoma" w:cs="Tahoma"/>
                <w:b/>
                <w:spacing w:val="-3"/>
                <w:sz w:val="20"/>
              </w:rPr>
              <w:t xml:space="preserve">Estimated Implementation Costs </w:t>
            </w:r>
            <w:r w:rsidRPr="005119E1">
              <w:rPr>
                <w:rFonts w:ascii="Tahoma" w:hAnsi="Tahoma" w:cs="Tahoma"/>
                <w:spacing w:val="-3"/>
                <w:sz w:val="20"/>
              </w:rPr>
              <w:t xml:space="preserve">(mandatory by </w:t>
            </w:r>
            <w:proofErr w:type="spellStart"/>
            <w:r w:rsidRPr="005119E1">
              <w:rPr>
                <w:rFonts w:ascii="Tahoma" w:hAnsi="Tahoma" w:cs="Tahoma"/>
                <w:spacing w:val="-3"/>
                <w:sz w:val="20"/>
              </w:rPr>
              <w:t>BSCCo</w:t>
            </w:r>
            <w:proofErr w:type="spellEnd"/>
            <w:r w:rsidRPr="005119E1">
              <w:rPr>
                <w:rFonts w:ascii="Tahoma" w:hAnsi="Tahoma" w:cs="Tahoma"/>
                <w:spacing w:val="-3"/>
                <w:sz w:val="20"/>
              </w:rPr>
              <w:t>)</w:t>
            </w:r>
          </w:p>
        </w:tc>
      </w:tr>
      <w:tr w:rsidR="0054644A" w:rsidRPr="005119E1" w14:paraId="573DDCF0"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360E2212" w14:textId="3FA2E7C0" w:rsidR="0054644A" w:rsidRPr="005119E1" w:rsidRDefault="0069725D" w:rsidP="00C25ED3">
            <w:pPr>
              <w:suppressAutoHyphens/>
              <w:spacing w:after="240"/>
              <w:jc w:val="both"/>
              <w:rPr>
                <w:rFonts w:ascii="Tahoma" w:hAnsi="Tahoma" w:cs="Tahoma"/>
                <w:spacing w:val="-3"/>
                <w:sz w:val="20"/>
              </w:rPr>
            </w:pPr>
            <w:r w:rsidRPr="005119E1">
              <w:rPr>
                <w:rFonts w:ascii="Tahoma" w:hAnsi="Tahoma" w:cs="Tahoma"/>
                <w:bCs/>
                <w:spacing w:val="-3"/>
                <w:sz w:val="20"/>
              </w:rPr>
              <w:t>Less than £</w:t>
            </w:r>
            <w:r w:rsidR="00C25ED3" w:rsidRPr="005119E1">
              <w:rPr>
                <w:rFonts w:ascii="Tahoma" w:hAnsi="Tahoma" w:cs="Tahoma"/>
                <w:bCs/>
                <w:spacing w:val="-3"/>
                <w:sz w:val="20"/>
              </w:rPr>
              <w:t>1</w:t>
            </w:r>
            <w:r w:rsidRPr="005119E1">
              <w:rPr>
                <w:rFonts w:ascii="Tahoma" w:hAnsi="Tahoma" w:cs="Tahoma"/>
                <w:bCs/>
                <w:spacing w:val="-3"/>
                <w:sz w:val="20"/>
              </w:rPr>
              <w:t>k of effort to implement the necessary document changes.</w:t>
            </w:r>
          </w:p>
        </w:tc>
      </w:tr>
      <w:tr w:rsidR="0054644A" w:rsidRPr="005119E1" w14:paraId="34C20A06"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7B51B934" w14:textId="77777777" w:rsidR="0054644A" w:rsidRPr="005119E1" w:rsidRDefault="00D53593">
            <w:pPr>
              <w:suppressAutoHyphens/>
              <w:jc w:val="both"/>
              <w:rPr>
                <w:rFonts w:ascii="Tahoma" w:hAnsi="Tahoma" w:cs="Tahoma"/>
                <w:spacing w:val="-3"/>
                <w:sz w:val="20"/>
              </w:rPr>
            </w:pPr>
            <w:r w:rsidRPr="005119E1">
              <w:rPr>
                <w:rFonts w:ascii="Tahoma" w:hAnsi="Tahoma" w:cs="Tahoma"/>
                <w:b/>
                <w:spacing w:val="-3"/>
                <w:sz w:val="20"/>
              </w:rPr>
              <w:t>BSC Configurable Items Affected by Proposed Solution(s)</w:t>
            </w:r>
            <w:r w:rsidRPr="005119E1">
              <w:rPr>
                <w:rFonts w:ascii="Tahoma" w:hAnsi="Tahoma" w:cs="Tahoma"/>
                <w:spacing w:val="-3"/>
                <w:sz w:val="20"/>
              </w:rPr>
              <w:t xml:space="preserve"> (mandatory by originator)</w:t>
            </w:r>
          </w:p>
          <w:p w14:paraId="093AEDD0" w14:textId="77777777" w:rsidR="005E3E62" w:rsidRPr="005119E1" w:rsidRDefault="005E3E62">
            <w:pPr>
              <w:suppressAutoHyphens/>
              <w:jc w:val="both"/>
              <w:rPr>
                <w:rFonts w:ascii="Tahoma" w:hAnsi="Tahoma" w:cs="Tahoma"/>
                <w:b/>
                <w:spacing w:val="-3"/>
                <w:sz w:val="20"/>
              </w:rPr>
            </w:pPr>
          </w:p>
        </w:tc>
      </w:tr>
      <w:tr w:rsidR="0054644A" w:rsidRPr="005119E1" w14:paraId="67881475"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13074A45" w14:textId="6C296B35" w:rsidR="0054644A" w:rsidRPr="005119E1" w:rsidRDefault="007A4D9B">
            <w:pPr>
              <w:suppressAutoHyphens/>
              <w:spacing w:after="240"/>
              <w:jc w:val="both"/>
              <w:rPr>
                <w:rFonts w:ascii="Tahoma" w:hAnsi="Tahoma" w:cs="Tahoma"/>
                <w:spacing w:val="-3"/>
                <w:sz w:val="20"/>
              </w:rPr>
            </w:pPr>
            <w:hyperlink r:id="rId16" w:history="1">
              <w:r w:rsidR="00094A37" w:rsidRPr="005119E1">
                <w:rPr>
                  <w:rStyle w:val="Hyperlink"/>
                  <w:rFonts w:ascii="Tahoma" w:hAnsi="Tahoma" w:cs="Tahoma"/>
                  <w:spacing w:val="-3"/>
                  <w:sz w:val="20"/>
                </w:rPr>
                <w:t>Code of Practice 1</w:t>
              </w:r>
              <w:r w:rsidR="00C25ED3" w:rsidRPr="005119E1">
                <w:rPr>
                  <w:rStyle w:val="Hyperlink"/>
                  <w:rFonts w:ascii="Tahoma" w:hAnsi="Tahoma" w:cs="Tahoma"/>
                  <w:spacing w:val="-3"/>
                  <w:sz w:val="20"/>
                </w:rPr>
                <w:t xml:space="preserve"> ‘The Metering of circuits with a Rated Capacity Exceeding 100MVA for Settlement Purposes’</w:t>
              </w:r>
            </w:hyperlink>
          </w:p>
          <w:p w14:paraId="19B8F47D" w14:textId="597F2566" w:rsidR="00DC1A9D" w:rsidRPr="005119E1" w:rsidRDefault="007A4D9B">
            <w:pPr>
              <w:suppressAutoHyphens/>
              <w:spacing w:after="240"/>
              <w:jc w:val="both"/>
              <w:rPr>
                <w:rFonts w:ascii="Tahoma" w:hAnsi="Tahoma" w:cs="Tahoma"/>
                <w:spacing w:val="-3"/>
                <w:sz w:val="20"/>
              </w:rPr>
            </w:pPr>
            <w:hyperlink r:id="rId17" w:history="1">
              <w:r w:rsidR="00094A37" w:rsidRPr="005119E1">
                <w:rPr>
                  <w:rStyle w:val="Hyperlink"/>
                  <w:rFonts w:ascii="Tahoma" w:hAnsi="Tahoma" w:cs="Tahoma"/>
                  <w:spacing w:val="-3"/>
                  <w:sz w:val="20"/>
                </w:rPr>
                <w:t>Code of Practice 2</w:t>
              </w:r>
              <w:r w:rsidR="00C25ED3" w:rsidRPr="005119E1">
                <w:rPr>
                  <w:rStyle w:val="Hyperlink"/>
                  <w:rFonts w:ascii="Tahoma" w:hAnsi="Tahoma" w:cs="Tahoma"/>
                  <w:spacing w:val="-3"/>
                  <w:sz w:val="20"/>
                </w:rPr>
                <w:t xml:space="preserve"> ‘The Metering </w:t>
              </w:r>
              <w:r w:rsidR="00EE4189" w:rsidRPr="005119E1">
                <w:rPr>
                  <w:rStyle w:val="Hyperlink"/>
                  <w:rFonts w:ascii="Tahoma" w:hAnsi="Tahoma" w:cs="Tahoma"/>
                  <w:spacing w:val="-3"/>
                  <w:sz w:val="20"/>
                </w:rPr>
                <w:t>of Circuits with a Rated Capacity not Exceeding 100 MVA for Settlement Purposes’</w:t>
              </w:r>
            </w:hyperlink>
          </w:p>
        </w:tc>
      </w:tr>
      <w:tr w:rsidR="0054644A" w:rsidRPr="005119E1" w14:paraId="24F2864B"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6A85BD6B" w14:textId="77777777" w:rsidR="0054644A" w:rsidRPr="005119E1" w:rsidRDefault="00D53593">
            <w:pPr>
              <w:suppressAutoHyphens/>
              <w:jc w:val="both"/>
              <w:rPr>
                <w:rFonts w:ascii="Tahoma" w:hAnsi="Tahoma" w:cs="Tahoma"/>
                <w:spacing w:val="-3"/>
                <w:sz w:val="20"/>
              </w:rPr>
            </w:pPr>
            <w:r w:rsidRPr="005119E1">
              <w:rPr>
                <w:rFonts w:ascii="Tahoma" w:hAnsi="Tahoma" w:cs="Tahoma"/>
                <w:b/>
                <w:spacing w:val="-3"/>
                <w:sz w:val="20"/>
              </w:rPr>
              <w:t xml:space="preserve">Impact on Core Industry Documents or System Operator-Transmission Owner Code </w:t>
            </w:r>
            <w:r w:rsidRPr="005119E1">
              <w:rPr>
                <w:rFonts w:ascii="Tahoma" w:hAnsi="Tahoma" w:cs="Tahoma"/>
                <w:spacing w:val="-3"/>
                <w:sz w:val="20"/>
              </w:rPr>
              <w:t>(mandatory by originator)</w:t>
            </w:r>
          </w:p>
          <w:p w14:paraId="27C0A7CF" w14:textId="77777777" w:rsidR="005E3E62" w:rsidRPr="005119E1" w:rsidRDefault="005E3E62">
            <w:pPr>
              <w:suppressAutoHyphens/>
              <w:jc w:val="both"/>
              <w:rPr>
                <w:rFonts w:ascii="Tahoma" w:hAnsi="Tahoma" w:cs="Tahoma"/>
                <w:spacing w:val="-3"/>
                <w:sz w:val="20"/>
              </w:rPr>
            </w:pPr>
          </w:p>
        </w:tc>
      </w:tr>
      <w:tr w:rsidR="0054644A" w:rsidRPr="005119E1" w14:paraId="0DE1A232"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0716B9C6" w14:textId="564C43BF" w:rsidR="0054644A" w:rsidRPr="005119E1" w:rsidRDefault="00EE4189">
            <w:pPr>
              <w:suppressAutoHyphens/>
              <w:spacing w:after="240"/>
              <w:jc w:val="both"/>
              <w:rPr>
                <w:rFonts w:ascii="Tahoma" w:hAnsi="Tahoma" w:cs="Tahoma"/>
                <w:spacing w:val="-3"/>
                <w:sz w:val="20"/>
              </w:rPr>
            </w:pPr>
            <w:r w:rsidRPr="005119E1">
              <w:rPr>
                <w:rFonts w:ascii="Tahoma" w:hAnsi="Tahoma" w:cs="Tahoma"/>
                <w:spacing w:val="-3"/>
                <w:sz w:val="20"/>
              </w:rPr>
              <w:t>None</w:t>
            </w:r>
          </w:p>
        </w:tc>
      </w:tr>
      <w:tr w:rsidR="0054644A" w:rsidRPr="005119E1" w14:paraId="4AB6F669"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241813A9" w14:textId="77777777" w:rsidR="0054644A" w:rsidRPr="005119E1" w:rsidRDefault="00D53593">
            <w:pPr>
              <w:suppressAutoHyphens/>
              <w:jc w:val="both"/>
              <w:rPr>
                <w:rFonts w:ascii="Tahoma" w:hAnsi="Tahoma" w:cs="Tahoma"/>
                <w:spacing w:val="-3"/>
                <w:sz w:val="20"/>
              </w:rPr>
            </w:pPr>
            <w:r w:rsidRPr="005119E1">
              <w:rPr>
                <w:rFonts w:ascii="Tahoma" w:hAnsi="Tahoma" w:cs="Tahoma"/>
                <w:b/>
                <w:spacing w:val="-3"/>
                <w:sz w:val="20"/>
              </w:rPr>
              <w:t xml:space="preserve">Related Changes and/or BSC Releases </w:t>
            </w:r>
            <w:r w:rsidRPr="005119E1">
              <w:rPr>
                <w:rFonts w:ascii="Tahoma" w:hAnsi="Tahoma" w:cs="Tahoma"/>
                <w:spacing w:val="-3"/>
                <w:sz w:val="20"/>
              </w:rPr>
              <w:t xml:space="preserve">(mandatory by </w:t>
            </w:r>
            <w:proofErr w:type="spellStart"/>
            <w:r w:rsidRPr="005119E1">
              <w:rPr>
                <w:rFonts w:ascii="Tahoma" w:hAnsi="Tahoma" w:cs="Tahoma"/>
                <w:spacing w:val="-3"/>
                <w:sz w:val="20"/>
              </w:rPr>
              <w:t>BSCCo</w:t>
            </w:r>
            <w:proofErr w:type="spellEnd"/>
            <w:r w:rsidRPr="005119E1">
              <w:rPr>
                <w:rFonts w:ascii="Tahoma" w:hAnsi="Tahoma" w:cs="Tahoma"/>
                <w:spacing w:val="-3"/>
                <w:sz w:val="20"/>
              </w:rPr>
              <w:t>)</w:t>
            </w:r>
          </w:p>
        </w:tc>
      </w:tr>
      <w:tr w:rsidR="0054644A" w:rsidRPr="005119E1" w14:paraId="305ED013"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7CCF1B7F" w14:textId="6B38524C" w:rsidR="005E3E62" w:rsidRPr="005119E1" w:rsidRDefault="007A4D9B" w:rsidP="007C71BE">
            <w:pPr>
              <w:suppressAutoHyphens/>
              <w:spacing w:after="240"/>
              <w:jc w:val="both"/>
              <w:rPr>
                <w:rFonts w:ascii="Tahoma" w:hAnsi="Tahoma" w:cs="Tahoma"/>
                <w:spacing w:val="-3"/>
                <w:sz w:val="20"/>
              </w:rPr>
            </w:pPr>
            <w:hyperlink r:id="rId18" w:history="1">
              <w:r w:rsidR="00EE4189" w:rsidRPr="005119E1">
                <w:rPr>
                  <w:rStyle w:val="Hyperlink"/>
                  <w:rFonts w:ascii="Tahoma" w:hAnsi="Tahoma" w:cs="Tahoma"/>
                  <w:spacing w:val="-3"/>
                  <w:sz w:val="20"/>
                </w:rPr>
                <w:t>Issue 93 ‘Review of the BSC metering Codes of Practice’</w:t>
              </w:r>
            </w:hyperlink>
          </w:p>
        </w:tc>
      </w:tr>
      <w:tr w:rsidR="0054644A" w:rsidRPr="005119E1" w14:paraId="69877B87"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14:paraId="406122F9" w14:textId="77777777" w:rsidR="0054644A" w:rsidRPr="005119E1" w:rsidRDefault="00D53593">
            <w:pPr>
              <w:suppressAutoHyphens/>
              <w:jc w:val="both"/>
              <w:rPr>
                <w:rFonts w:ascii="Tahoma" w:hAnsi="Tahoma" w:cs="Tahoma"/>
                <w:b/>
                <w:spacing w:val="-3"/>
                <w:sz w:val="20"/>
              </w:rPr>
            </w:pPr>
            <w:r w:rsidRPr="005119E1">
              <w:rPr>
                <w:rFonts w:ascii="Tahoma" w:hAnsi="Tahoma" w:cs="Tahoma"/>
                <w:b/>
                <w:spacing w:val="-3"/>
                <w:sz w:val="20"/>
              </w:rPr>
              <w:lastRenderedPageBreak/>
              <w:t>Requested Implementation Date (mandatory by originator)</w:t>
            </w:r>
          </w:p>
        </w:tc>
      </w:tr>
      <w:tr w:rsidR="0054644A" w:rsidRPr="005119E1" w14:paraId="5DF1895C"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14:paraId="086D2358" w14:textId="506DFE85" w:rsidR="005E3E62" w:rsidRPr="005119E1" w:rsidRDefault="009A77B9">
            <w:pPr>
              <w:suppressAutoHyphens/>
              <w:spacing w:after="240"/>
              <w:jc w:val="both"/>
              <w:rPr>
                <w:rFonts w:ascii="Tahoma" w:hAnsi="Tahoma" w:cs="Tahoma"/>
                <w:spacing w:val="-3"/>
                <w:sz w:val="20"/>
              </w:rPr>
            </w:pPr>
            <w:r w:rsidRPr="005119E1">
              <w:rPr>
                <w:rFonts w:ascii="Tahoma" w:hAnsi="Tahoma" w:cs="Tahoma"/>
                <w:sz w:val="20"/>
              </w:rPr>
              <w:t xml:space="preserve"> 30</w:t>
            </w:r>
            <w:r w:rsidR="0069725D" w:rsidRPr="005119E1">
              <w:rPr>
                <w:rFonts w:ascii="Tahoma" w:hAnsi="Tahoma" w:cs="Tahoma"/>
                <w:sz w:val="20"/>
              </w:rPr>
              <w:t xml:space="preserve"> </w:t>
            </w:r>
            <w:r w:rsidRPr="005119E1">
              <w:rPr>
                <w:rFonts w:ascii="Tahoma" w:hAnsi="Tahoma" w:cs="Tahoma"/>
                <w:sz w:val="20"/>
              </w:rPr>
              <w:t xml:space="preserve">June </w:t>
            </w:r>
            <w:r w:rsidR="0069725D" w:rsidRPr="005119E1">
              <w:rPr>
                <w:rFonts w:ascii="Tahoma" w:hAnsi="Tahoma" w:cs="Tahoma"/>
                <w:sz w:val="20"/>
              </w:rPr>
              <w:t xml:space="preserve">2022 ( </w:t>
            </w:r>
            <w:r w:rsidRPr="005119E1">
              <w:rPr>
                <w:rFonts w:ascii="Tahoma" w:hAnsi="Tahoma" w:cs="Tahoma"/>
                <w:sz w:val="20"/>
              </w:rPr>
              <w:t xml:space="preserve">June </w:t>
            </w:r>
            <w:r w:rsidR="0069725D" w:rsidRPr="005119E1">
              <w:rPr>
                <w:rFonts w:ascii="Tahoma" w:hAnsi="Tahoma" w:cs="Tahoma"/>
                <w:sz w:val="20"/>
              </w:rPr>
              <w:t xml:space="preserve">2022 </w:t>
            </w:r>
            <w:r w:rsidR="00BD1E53" w:rsidRPr="005119E1">
              <w:rPr>
                <w:rFonts w:ascii="Tahoma" w:hAnsi="Tahoma" w:cs="Tahoma"/>
                <w:sz w:val="20"/>
              </w:rPr>
              <w:t>S</w:t>
            </w:r>
            <w:r w:rsidR="00EE4189" w:rsidRPr="005119E1">
              <w:rPr>
                <w:rFonts w:ascii="Tahoma" w:hAnsi="Tahoma" w:cs="Tahoma"/>
                <w:sz w:val="20"/>
              </w:rPr>
              <w:t xml:space="preserve">tandard </w:t>
            </w:r>
            <w:r w:rsidR="0069725D" w:rsidRPr="005119E1">
              <w:rPr>
                <w:rFonts w:ascii="Tahoma" w:hAnsi="Tahoma" w:cs="Tahoma"/>
                <w:sz w:val="20"/>
              </w:rPr>
              <w:t>BSC Release)</w:t>
            </w:r>
          </w:p>
        </w:tc>
      </w:tr>
      <w:tr w:rsidR="0054644A" w:rsidRPr="005119E1" w14:paraId="35E4AB50"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2F7693" w14:textId="522942DA" w:rsidR="0054644A" w:rsidRPr="005119E1" w:rsidRDefault="00D53593" w:rsidP="00BD1E53">
            <w:pPr>
              <w:suppressAutoHyphens/>
              <w:spacing w:after="240"/>
              <w:jc w:val="both"/>
              <w:rPr>
                <w:rFonts w:ascii="Tahoma" w:hAnsi="Tahoma" w:cs="Tahoma"/>
                <w:b/>
                <w:bCs/>
                <w:spacing w:val="-3"/>
                <w:sz w:val="20"/>
              </w:rPr>
            </w:pPr>
            <w:r w:rsidRPr="005119E1">
              <w:rPr>
                <w:rFonts w:ascii="Tahoma" w:hAnsi="Tahoma" w:cs="Tahoma"/>
                <w:b/>
                <w:bCs/>
                <w:spacing w:val="-3"/>
                <w:sz w:val="20"/>
              </w:rPr>
              <w:t>Reason:</w:t>
            </w:r>
            <w:r w:rsidR="005E3E62" w:rsidRPr="005119E1">
              <w:rPr>
                <w:rFonts w:ascii="Tahoma" w:hAnsi="Tahoma" w:cs="Tahoma"/>
                <w:b/>
                <w:bCs/>
                <w:spacing w:val="-3"/>
                <w:sz w:val="20"/>
              </w:rPr>
              <w:t xml:space="preserve"> </w:t>
            </w:r>
            <w:r w:rsidR="00BD1E53" w:rsidRPr="005119E1">
              <w:rPr>
                <w:rFonts w:ascii="Tahoma" w:hAnsi="Tahoma" w:cs="Tahoma"/>
                <w:spacing w:val="-3"/>
                <w:sz w:val="20"/>
              </w:rPr>
              <w:t>We have targeted June 2022 BSC Release because it enables us to batch up this change alongside the subsequent CPs that is raised as a result of the Issue 93 exercise.</w:t>
            </w:r>
          </w:p>
        </w:tc>
      </w:tr>
      <w:tr w:rsidR="0054644A" w:rsidRPr="005119E1" w14:paraId="57B773A3"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8CE199" w14:textId="77777777" w:rsidR="0054644A" w:rsidRPr="005119E1" w:rsidRDefault="00D53593">
            <w:pPr>
              <w:suppressAutoHyphens/>
              <w:spacing w:after="240"/>
              <w:jc w:val="both"/>
              <w:rPr>
                <w:rFonts w:ascii="Tahoma" w:hAnsi="Tahoma" w:cs="Tahoma"/>
                <w:b/>
                <w:spacing w:val="-3"/>
                <w:sz w:val="20"/>
              </w:rPr>
            </w:pPr>
            <w:r w:rsidRPr="005119E1">
              <w:rPr>
                <w:rFonts w:ascii="Tahoma" w:hAnsi="Tahoma" w:cs="Tahoma"/>
                <w:b/>
                <w:spacing w:val="-3"/>
                <w:sz w:val="20"/>
              </w:rPr>
              <w:t xml:space="preserve">Version History (mandatory by </w:t>
            </w:r>
            <w:proofErr w:type="spellStart"/>
            <w:r w:rsidRPr="005119E1">
              <w:rPr>
                <w:rFonts w:ascii="Tahoma" w:hAnsi="Tahoma" w:cs="Tahoma"/>
                <w:b/>
                <w:spacing w:val="-3"/>
                <w:sz w:val="20"/>
              </w:rPr>
              <w:t>BSCCo</w:t>
            </w:r>
            <w:proofErr w:type="spellEnd"/>
            <w:r w:rsidRPr="005119E1">
              <w:rPr>
                <w:rFonts w:ascii="Tahoma" w:hAnsi="Tahoma" w:cs="Tahoma"/>
                <w:b/>
                <w:spacing w:val="-3"/>
                <w:sz w:val="20"/>
              </w:rPr>
              <w:t>)</w:t>
            </w:r>
          </w:p>
        </w:tc>
      </w:tr>
      <w:tr w:rsidR="0054644A" w:rsidRPr="005119E1" w14:paraId="1CA69A2A"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DC11E0" w14:textId="77777777" w:rsidR="0054644A" w:rsidRPr="005119E1" w:rsidRDefault="00D53593">
            <w:pPr>
              <w:suppressAutoHyphens/>
              <w:spacing w:after="240"/>
              <w:jc w:val="both"/>
              <w:rPr>
                <w:rFonts w:ascii="Tahoma" w:hAnsi="Tahoma" w:cs="Tahoma"/>
                <w:b/>
                <w:i/>
                <w:spacing w:val="-3"/>
                <w:sz w:val="20"/>
              </w:rPr>
            </w:pPr>
            <w:r w:rsidRPr="005119E1">
              <w:rPr>
                <w:rFonts w:ascii="Tahoma" w:hAnsi="Tahoma" w:cs="Tahoma"/>
                <w:b/>
                <w:i/>
                <w:spacing w:val="-3"/>
                <w:sz w:val="20"/>
              </w:rPr>
              <w:t>Originator’s Details:</w:t>
            </w:r>
          </w:p>
        </w:tc>
      </w:tr>
      <w:tr w:rsidR="0054644A" w:rsidRPr="005119E1" w14:paraId="2A326C37"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75044A" w14:textId="77777777" w:rsidR="0054644A" w:rsidRPr="005119E1" w:rsidRDefault="00D53593" w:rsidP="007C71BE">
            <w:pPr>
              <w:tabs>
                <w:tab w:val="right" w:leader="dot" w:pos="8505"/>
              </w:tabs>
              <w:suppressAutoHyphens/>
              <w:spacing w:after="240"/>
              <w:jc w:val="both"/>
              <w:rPr>
                <w:rFonts w:ascii="Tahoma" w:hAnsi="Tahoma" w:cs="Tahoma"/>
                <w:b/>
                <w:i/>
                <w:spacing w:val="-3"/>
                <w:sz w:val="20"/>
              </w:rPr>
            </w:pPr>
            <w:r w:rsidRPr="005119E1">
              <w:rPr>
                <w:rFonts w:ascii="Tahoma" w:hAnsi="Tahoma" w:cs="Tahoma"/>
                <w:b/>
                <w:i/>
                <w:spacing w:val="-3"/>
                <w:sz w:val="20"/>
              </w:rPr>
              <w:t>BCA Name:</w:t>
            </w:r>
            <w:r w:rsidR="00792B18" w:rsidRPr="005119E1">
              <w:rPr>
                <w:rFonts w:ascii="Tahoma" w:hAnsi="Tahoma" w:cs="Tahoma"/>
                <w:b/>
                <w:i/>
                <w:spacing w:val="-3"/>
                <w:sz w:val="20"/>
              </w:rPr>
              <w:t xml:space="preserve"> </w:t>
            </w:r>
            <w:r w:rsidR="007C71BE" w:rsidRPr="003850FD">
              <w:rPr>
                <w:rFonts w:ascii="Tahoma" w:hAnsi="Tahoma" w:cs="Tahoma"/>
                <w:spacing w:val="-3"/>
                <w:sz w:val="20"/>
              </w:rPr>
              <w:t>Christopher Day</w:t>
            </w:r>
          </w:p>
        </w:tc>
      </w:tr>
      <w:tr w:rsidR="0054644A" w:rsidRPr="005119E1" w14:paraId="024A9433"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6E51F2" w14:textId="77777777" w:rsidR="0054644A" w:rsidRPr="005119E1" w:rsidRDefault="00D53593">
            <w:pPr>
              <w:tabs>
                <w:tab w:val="right" w:leader="dot" w:pos="8505"/>
              </w:tabs>
              <w:suppressAutoHyphens/>
              <w:spacing w:after="240"/>
              <w:jc w:val="both"/>
              <w:rPr>
                <w:rFonts w:ascii="Tahoma" w:hAnsi="Tahoma" w:cs="Tahoma"/>
                <w:b/>
                <w:i/>
                <w:spacing w:val="-3"/>
                <w:sz w:val="20"/>
              </w:rPr>
            </w:pPr>
            <w:r w:rsidRPr="005119E1">
              <w:rPr>
                <w:rFonts w:ascii="Tahoma" w:hAnsi="Tahoma" w:cs="Tahoma"/>
                <w:b/>
                <w:i/>
                <w:spacing w:val="-3"/>
                <w:sz w:val="20"/>
              </w:rPr>
              <w:t>Organisation:</w:t>
            </w:r>
            <w:r w:rsidR="00792B18" w:rsidRPr="005119E1">
              <w:rPr>
                <w:rFonts w:ascii="Tahoma" w:hAnsi="Tahoma" w:cs="Tahoma"/>
                <w:b/>
                <w:i/>
                <w:spacing w:val="-3"/>
                <w:sz w:val="20"/>
              </w:rPr>
              <w:t xml:space="preserve"> </w:t>
            </w:r>
            <w:r w:rsidR="005E3E62" w:rsidRPr="003850FD">
              <w:rPr>
                <w:rFonts w:ascii="Tahoma" w:hAnsi="Tahoma" w:cs="Tahoma"/>
                <w:spacing w:val="-3"/>
                <w:sz w:val="20"/>
              </w:rPr>
              <w:t>Elexon</w:t>
            </w:r>
          </w:p>
        </w:tc>
      </w:tr>
      <w:tr w:rsidR="0054644A" w:rsidRPr="005119E1" w14:paraId="3C75F982"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240F92" w14:textId="394E3E96" w:rsidR="0054644A" w:rsidRPr="005119E1" w:rsidRDefault="00D53593" w:rsidP="002C5787">
            <w:pPr>
              <w:tabs>
                <w:tab w:val="right" w:leader="dot" w:pos="8505"/>
              </w:tabs>
              <w:suppressAutoHyphens/>
              <w:spacing w:after="240"/>
              <w:jc w:val="both"/>
              <w:rPr>
                <w:rFonts w:ascii="Tahoma" w:hAnsi="Tahoma" w:cs="Tahoma"/>
                <w:b/>
                <w:i/>
                <w:spacing w:val="-3"/>
                <w:sz w:val="20"/>
              </w:rPr>
            </w:pPr>
            <w:r w:rsidRPr="005119E1">
              <w:rPr>
                <w:rFonts w:ascii="Tahoma" w:hAnsi="Tahoma" w:cs="Tahoma"/>
                <w:b/>
                <w:i/>
                <w:spacing w:val="-3"/>
                <w:sz w:val="20"/>
              </w:rPr>
              <w:t>Email Address:</w:t>
            </w:r>
            <w:r w:rsidR="00F70CFE" w:rsidRPr="005119E1">
              <w:rPr>
                <w:rFonts w:ascii="Tahoma" w:hAnsi="Tahoma" w:cs="Tahoma"/>
                <w:sz w:val="20"/>
              </w:rPr>
              <w:t xml:space="preserve"> </w:t>
            </w:r>
            <w:r w:rsidR="005E3E62" w:rsidRPr="003850FD">
              <w:rPr>
                <w:rFonts w:ascii="Tahoma" w:hAnsi="Tahoma" w:cs="Tahoma"/>
                <w:spacing w:val="-3"/>
                <w:sz w:val="20"/>
              </w:rPr>
              <w:t>Christopher.Day@elexon.co.uk</w:t>
            </w:r>
          </w:p>
        </w:tc>
      </w:tr>
      <w:tr w:rsidR="0054644A" w:rsidRPr="005119E1" w14:paraId="178BD841"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4F1B3CF" w14:textId="4DE9CD63" w:rsidR="0054644A" w:rsidRPr="005119E1" w:rsidRDefault="00D53593" w:rsidP="1D7E5901">
            <w:pPr>
              <w:tabs>
                <w:tab w:val="right" w:leader="dot" w:pos="8505"/>
              </w:tabs>
              <w:suppressAutoHyphens/>
              <w:spacing w:after="240"/>
              <w:jc w:val="both"/>
              <w:rPr>
                <w:rFonts w:ascii="Tahoma" w:hAnsi="Tahoma" w:cs="Tahoma"/>
                <w:b/>
                <w:bCs/>
                <w:i/>
                <w:iCs/>
                <w:spacing w:val="-3"/>
                <w:sz w:val="20"/>
              </w:rPr>
            </w:pPr>
            <w:r w:rsidRPr="005119E1">
              <w:rPr>
                <w:rFonts w:ascii="Tahoma" w:hAnsi="Tahoma" w:cs="Tahoma"/>
                <w:b/>
                <w:bCs/>
                <w:i/>
                <w:iCs/>
                <w:spacing w:val="-3"/>
                <w:sz w:val="20"/>
              </w:rPr>
              <w:t>Telephone Number:</w:t>
            </w:r>
            <w:r w:rsidR="00F70CFE" w:rsidRPr="005119E1">
              <w:rPr>
                <w:rFonts w:ascii="Tahoma" w:hAnsi="Tahoma" w:cs="Tahoma"/>
                <w:b/>
                <w:bCs/>
                <w:i/>
                <w:iCs/>
                <w:spacing w:val="-3"/>
                <w:sz w:val="20"/>
              </w:rPr>
              <w:t xml:space="preserve"> </w:t>
            </w:r>
            <w:r w:rsidR="00BF5C29" w:rsidRPr="003850FD">
              <w:rPr>
                <w:rFonts w:ascii="Tahoma" w:hAnsi="Tahoma" w:cs="Tahoma"/>
                <w:iCs/>
                <w:spacing w:val="-3"/>
                <w:sz w:val="20"/>
              </w:rPr>
              <w:t>020</w:t>
            </w:r>
            <w:r w:rsidR="2BB4EB42" w:rsidRPr="003850FD">
              <w:rPr>
                <w:rFonts w:ascii="Tahoma" w:hAnsi="Tahoma" w:cs="Tahoma"/>
                <w:iCs/>
                <w:spacing w:val="-3"/>
                <w:sz w:val="20"/>
              </w:rPr>
              <w:t xml:space="preserve"> </w:t>
            </w:r>
            <w:r w:rsidR="00BF5C29" w:rsidRPr="003850FD">
              <w:rPr>
                <w:rFonts w:ascii="Tahoma" w:hAnsi="Tahoma" w:cs="Tahoma"/>
                <w:iCs/>
                <w:spacing w:val="-3"/>
                <w:sz w:val="20"/>
              </w:rPr>
              <w:t>7380</w:t>
            </w:r>
            <w:r w:rsidR="70F9C888" w:rsidRPr="003850FD">
              <w:rPr>
                <w:rFonts w:ascii="Tahoma" w:hAnsi="Tahoma" w:cs="Tahoma"/>
                <w:iCs/>
                <w:spacing w:val="-3"/>
                <w:sz w:val="20"/>
              </w:rPr>
              <w:t xml:space="preserve"> </w:t>
            </w:r>
            <w:r w:rsidR="00F70CFE" w:rsidRPr="003850FD">
              <w:rPr>
                <w:rFonts w:ascii="Tahoma" w:hAnsi="Tahoma" w:cs="Tahoma"/>
                <w:iCs/>
                <w:spacing w:val="-3"/>
                <w:sz w:val="20"/>
              </w:rPr>
              <w:t>4162</w:t>
            </w:r>
          </w:p>
        </w:tc>
      </w:tr>
      <w:tr w:rsidR="0054644A" w:rsidRPr="005119E1" w14:paraId="2C5B70D8"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F3F719" w14:textId="5FABE913" w:rsidR="0054644A" w:rsidRPr="005119E1" w:rsidRDefault="00D53593" w:rsidP="00B43F65">
            <w:pPr>
              <w:tabs>
                <w:tab w:val="right" w:leader="dot" w:pos="8505"/>
              </w:tabs>
              <w:suppressAutoHyphens/>
              <w:spacing w:after="240"/>
              <w:jc w:val="both"/>
              <w:rPr>
                <w:rFonts w:ascii="Tahoma" w:hAnsi="Tahoma" w:cs="Tahoma"/>
                <w:b/>
                <w:bCs/>
                <w:i/>
                <w:iCs/>
                <w:spacing w:val="-3"/>
                <w:sz w:val="20"/>
              </w:rPr>
            </w:pPr>
            <w:r w:rsidRPr="005119E1">
              <w:rPr>
                <w:rFonts w:ascii="Tahoma" w:hAnsi="Tahoma" w:cs="Tahoma"/>
                <w:b/>
                <w:bCs/>
                <w:i/>
                <w:iCs/>
                <w:spacing w:val="-3"/>
                <w:sz w:val="20"/>
              </w:rPr>
              <w:t>Date:</w:t>
            </w:r>
            <w:r w:rsidR="005E3E62" w:rsidRPr="005119E1">
              <w:rPr>
                <w:rFonts w:ascii="Tahoma" w:hAnsi="Tahoma" w:cs="Tahoma"/>
                <w:b/>
                <w:bCs/>
                <w:i/>
                <w:iCs/>
                <w:spacing w:val="-3"/>
                <w:sz w:val="20"/>
              </w:rPr>
              <w:t xml:space="preserve"> </w:t>
            </w:r>
            <w:r w:rsidR="007A4D9B">
              <w:rPr>
                <w:rFonts w:ascii="Tahoma" w:hAnsi="Tahoma" w:cs="Tahoma"/>
                <w:bCs/>
                <w:iCs/>
                <w:spacing w:val="-3"/>
                <w:sz w:val="20"/>
              </w:rPr>
              <w:t>05/10/</w:t>
            </w:r>
            <w:bookmarkStart w:id="14" w:name="_GoBack"/>
            <w:bookmarkEnd w:id="14"/>
            <w:r w:rsidR="007A4D9B">
              <w:rPr>
                <w:rFonts w:ascii="Tahoma" w:hAnsi="Tahoma" w:cs="Tahoma"/>
                <w:bCs/>
                <w:iCs/>
                <w:spacing w:val="-3"/>
                <w:sz w:val="20"/>
              </w:rPr>
              <w:t>2021</w:t>
            </w:r>
          </w:p>
        </w:tc>
      </w:tr>
      <w:tr w:rsidR="0054644A" w:rsidRPr="005119E1" w14:paraId="3061975F" w14:textId="77777777" w:rsidTr="7E11D5C9">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C136D7" w14:textId="590D5AF6" w:rsidR="0054644A" w:rsidRPr="005119E1" w:rsidRDefault="00D53593" w:rsidP="153E1830">
            <w:pPr>
              <w:suppressAutoHyphens/>
              <w:spacing w:after="240"/>
              <w:jc w:val="both"/>
              <w:rPr>
                <w:rFonts w:ascii="Tahoma" w:hAnsi="Tahoma" w:cs="Tahoma"/>
                <w:i/>
                <w:iCs/>
                <w:spacing w:val="-3"/>
                <w:sz w:val="20"/>
              </w:rPr>
            </w:pPr>
            <w:r w:rsidRPr="005119E1">
              <w:rPr>
                <w:rFonts w:ascii="Tahoma" w:hAnsi="Tahoma" w:cs="Tahoma"/>
                <w:spacing w:val="-3"/>
                <w:sz w:val="20"/>
              </w:rPr>
              <w:t xml:space="preserve">Attachments: </w:t>
            </w:r>
            <w:r w:rsidRPr="005119E1">
              <w:rPr>
                <w:rFonts w:ascii="Tahoma" w:hAnsi="Tahoma" w:cs="Tahoma"/>
                <w:b/>
                <w:bCs/>
                <w:spacing w:val="-3"/>
                <w:sz w:val="20"/>
              </w:rPr>
              <w:t xml:space="preserve">Y   </w:t>
            </w:r>
            <w:r w:rsidR="00915A3C" w:rsidRPr="005119E1">
              <w:rPr>
                <w:rFonts w:ascii="Tahoma" w:hAnsi="Tahoma" w:cs="Tahoma"/>
                <w:spacing w:val="-3"/>
                <w:sz w:val="20"/>
              </w:rPr>
              <w:t>(D</w:t>
            </w:r>
            <w:r w:rsidR="0016616D" w:rsidRPr="005119E1">
              <w:rPr>
                <w:rFonts w:ascii="Tahoma" w:hAnsi="Tahoma" w:cs="Tahoma"/>
                <w:spacing w:val="-3"/>
                <w:sz w:val="20"/>
              </w:rPr>
              <w:t>raft redlin</w:t>
            </w:r>
            <w:r w:rsidR="007E1BBA" w:rsidRPr="005119E1">
              <w:rPr>
                <w:rFonts w:ascii="Tahoma" w:hAnsi="Tahoma" w:cs="Tahoma"/>
                <w:spacing w:val="-3"/>
                <w:sz w:val="20"/>
              </w:rPr>
              <w:t>e</w:t>
            </w:r>
            <w:r w:rsidR="0016616D" w:rsidRPr="005119E1">
              <w:rPr>
                <w:rFonts w:ascii="Tahoma" w:hAnsi="Tahoma" w:cs="Tahoma"/>
                <w:spacing w:val="-3"/>
                <w:sz w:val="20"/>
              </w:rPr>
              <w:t xml:space="preserve"> changes</w:t>
            </w:r>
            <w:r w:rsidR="47D0929B" w:rsidRPr="005119E1">
              <w:rPr>
                <w:rFonts w:ascii="Tahoma" w:hAnsi="Tahoma" w:cs="Tahoma"/>
                <w:spacing w:val="-3"/>
                <w:sz w:val="20"/>
              </w:rPr>
              <w:t xml:space="preserve"> to</w:t>
            </w:r>
            <w:r w:rsidR="002E33DE" w:rsidRPr="005119E1">
              <w:rPr>
                <w:rFonts w:ascii="Tahoma" w:hAnsi="Tahoma" w:cs="Tahoma"/>
                <w:sz w:val="20"/>
              </w:rPr>
              <w:t xml:space="preserve"> Metering </w:t>
            </w:r>
            <w:proofErr w:type="spellStart"/>
            <w:r w:rsidR="002E33DE" w:rsidRPr="005119E1">
              <w:rPr>
                <w:rFonts w:ascii="Tahoma" w:hAnsi="Tahoma" w:cs="Tahoma"/>
                <w:sz w:val="20"/>
              </w:rPr>
              <w:t>CoPs</w:t>
            </w:r>
            <w:proofErr w:type="spellEnd"/>
            <w:r w:rsidR="002E33DE" w:rsidRPr="005119E1">
              <w:rPr>
                <w:rFonts w:ascii="Tahoma" w:hAnsi="Tahoma" w:cs="Tahoma"/>
                <w:sz w:val="20"/>
              </w:rPr>
              <w:t xml:space="preserve"> 1, and 2</w:t>
            </w:r>
            <w:r w:rsidR="00915A3C" w:rsidRPr="003850FD">
              <w:rPr>
                <w:rFonts w:ascii="Tahoma" w:hAnsi="Tahoma" w:cs="Tahoma"/>
                <w:bCs/>
                <w:spacing w:val="-3"/>
                <w:sz w:val="20"/>
              </w:rPr>
              <w:t>)</w:t>
            </w:r>
          </w:p>
        </w:tc>
      </w:tr>
    </w:tbl>
    <w:p w14:paraId="2AF8D302" w14:textId="77777777" w:rsidR="0054644A" w:rsidRPr="005119E1" w:rsidRDefault="0054644A">
      <w:pPr>
        <w:pStyle w:val="BodyTextIndent"/>
        <w:ind w:left="0"/>
        <w:rPr>
          <w:rFonts w:ascii="Tahoma" w:hAnsi="Tahoma" w:cs="Tahoma"/>
          <w:sz w:val="20"/>
        </w:rPr>
      </w:pPr>
    </w:p>
    <w:bookmarkEnd w:id="6"/>
    <w:bookmarkEnd w:id="7"/>
    <w:bookmarkEnd w:id="8"/>
    <w:bookmarkEnd w:id="9"/>
    <w:bookmarkEnd w:id="10"/>
    <w:bookmarkEnd w:id="11"/>
    <w:bookmarkEnd w:id="12"/>
    <w:bookmarkEnd w:id="13"/>
    <w:sectPr w:rsidR="0054644A" w:rsidRPr="005119E1">
      <w:headerReference w:type="default" r:id="rId19"/>
      <w:footerReference w:type="default" r:id="rId20"/>
      <w:endnotePr>
        <w:numFmt w:val="decimal"/>
      </w:endnotePr>
      <w:pgSz w:w="11909" w:h="16834" w:code="9"/>
      <w:pgMar w:top="1418" w:right="1418" w:bottom="1418" w:left="1418" w:header="709" w:footer="709"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CBD266" w16cex:dateUtc="2021-08-09T08:13:15.258Z"/>
  <w16cex:commentExtensible w16cex:durableId="36A1AE06" w16cex:dateUtc="2021-08-09T08:17:14.219Z"/>
  <w16cex:commentExtensible w16cex:durableId="10BE653C" w16cex:dateUtc="2021-08-09T08:22:03.345Z"/>
  <w16cex:commentExtensible w16cex:durableId="10745FCD" w16cex:dateUtc="2021-08-09T08:28:24.112Z"/>
  <w16cex:commentExtensible w16cex:durableId="326917B9" w16cex:dateUtc="2021-08-09T08:32:15.329Z"/>
  <w16cex:commentExtensible w16cex:durableId="63B02331" w16cex:dateUtc="2021-08-17T09:11:44.418Z"/>
  <w16cex:commentExtensible w16cex:durableId="072BE3DF" w16cex:dateUtc="2021-08-17T09:11:58.848Z"/>
  <w16cex:commentExtensible w16cex:durableId="46265827" w16cex:dateUtc="2021-08-17T09:19:50.31Z"/>
  <w16cex:commentExtensible w16cex:durableId="3E348B12" w16cex:dateUtc="2021-08-17T09:25:17.871Z"/>
  <w16cex:commentExtensible w16cex:durableId="31E8EB3C" w16cex:dateUtc="2021-08-17T09:27:13.305Z"/>
  <w16cex:commentExtensible w16cex:durableId="7A76961A" w16cex:dateUtc="2021-08-17T09:32:02.738Z"/>
  <w16cex:commentExtensible w16cex:durableId="4BE28AB3" w16cex:dateUtc="2021-08-17T09:34:42.778Z"/>
  <w16cex:commentExtensible w16cex:durableId="153D6AD6" w16cex:dateUtc="2021-08-17T09:35:12.495Z"/>
  <w16cex:commentExtensible w16cex:durableId="6A6332CF" w16cex:dateUtc="2021-08-17T09:35:47.809Z"/>
  <w16cex:commentExtensible w16cex:durableId="57AE7470" w16cex:dateUtc="2021-08-17T09:36:06.378Z"/>
  <w16cex:commentExtensible w16cex:durableId="69AA3820" w16cex:dateUtc="2021-08-17T09:47:14.609Z"/>
  <w16cex:commentExtensible w16cex:durableId="69D5C28B" w16cex:dateUtc="2021-08-17T09:49:37.872Z"/>
  <w16cex:commentExtensible w16cex:durableId="6DC86DB7" w16cex:dateUtc="2021-08-17T10:58:11.685Z"/>
</w16cex:commentsExtensible>
</file>

<file path=word/commentsIds.xml><?xml version="1.0" encoding="utf-8"?>
<w16cid:commentsIds xmlns:mc="http://schemas.openxmlformats.org/markup-compatibility/2006" xmlns:w16cid="http://schemas.microsoft.com/office/word/2016/wordml/cid" mc:Ignorable="w16cid">
  <w16cid:commentId w16cid:paraId="552E4FFA" w16cid:durableId="57623BDF"/>
  <w16cid:commentId w16cid:paraId="2A77D6BC" w16cid:durableId="1363E0D8"/>
  <w16cid:commentId w16cid:paraId="11EB6EF5" w16cid:durableId="3D016E23"/>
  <w16cid:commentId w16cid:paraId="5275A437" w16cid:durableId="3078DA93"/>
  <w16cid:commentId w16cid:paraId="0629BB7C" w16cid:durableId="4AE03C02"/>
  <w16cid:commentId w16cid:paraId="19208BE7" w16cid:durableId="34F0A03E"/>
  <w16cid:commentId w16cid:paraId="3AF8AEE0" w16cid:durableId="5333CD47"/>
  <w16cid:commentId w16cid:paraId="43D366E7" w16cid:durableId="24D173A3"/>
  <w16cid:commentId w16cid:paraId="55E0C40B" w16cid:durableId="41D7201A"/>
  <w16cid:commentId w16cid:paraId="22A92FB3" w16cid:durableId="2729BC19"/>
  <w16cid:commentId w16cid:paraId="714EF12F" w16cid:durableId="72EB1F39"/>
  <w16cid:commentId w16cid:paraId="3170D833" w16cid:durableId="784F050E"/>
  <w16cid:commentId w16cid:paraId="6025E282" w16cid:durableId="2780030B"/>
  <w16cid:commentId w16cid:paraId="6EAD1F26" w16cid:durableId="30897FF6"/>
  <w16cid:commentId w16cid:paraId="001ED98D" w16cid:durableId="78CBD266"/>
  <w16cid:commentId w16cid:paraId="69DA6D3A" w16cid:durableId="36A1AE06"/>
  <w16cid:commentId w16cid:paraId="0A9CD9D4" w16cid:durableId="10BE653C"/>
  <w16cid:commentId w16cid:paraId="63B061F4" w16cid:durableId="10745FCD"/>
  <w16cid:commentId w16cid:paraId="779461F2" w16cid:durableId="326917B9"/>
  <w16cid:commentId w16cid:paraId="694847F0" w16cid:durableId="1CDCBBEE"/>
  <w16cid:commentId w16cid:paraId="0FD70B9A" w16cid:durableId="63B02331"/>
  <w16cid:commentId w16cid:paraId="7D2C2401" w16cid:durableId="072BE3DF"/>
  <w16cid:commentId w16cid:paraId="1F439CA7" w16cid:durableId="46265827"/>
  <w16cid:commentId w16cid:paraId="1A5BE9DB" w16cid:durableId="3E348B12"/>
  <w16cid:commentId w16cid:paraId="5CFF4B58" w16cid:durableId="31E8EB3C"/>
  <w16cid:commentId w16cid:paraId="6F574DAB" w16cid:durableId="7A76961A"/>
  <w16cid:commentId w16cid:paraId="0372AB98" w16cid:durableId="4BE28AB3"/>
  <w16cid:commentId w16cid:paraId="5AD5502D" w16cid:durableId="153D6AD6"/>
  <w16cid:commentId w16cid:paraId="4B815DA2" w16cid:durableId="6A6332CF"/>
  <w16cid:commentId w16cid:paraId="7225B2B8" w16cid:durableId="57AE7470"/>
  <w16cid:commentId w16cid:paraId="3357B4BF" w16cid:durableId="69AA3820"/>
  <w16cid:commentId w16cid:paraId="50C091E9" w16cid:durableId="69D5C28B"/>
  <w16cid:commentId w16cid:paraId="1578FF3F" w16cid:durableId="6DC86D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4091" w14:textId="77777777" w:rsidR="00D65725" w:rsidRDefault="00D65725">
      <w:pPr>
        <w:spacing w:line="20" w:lineRule="exact"/>
      </w:pPr>
    </w:p>
  </w:endnote>
  <w:endnote w:type="continuationSeparator" w:id="0">
    <w:p w14:paraId="3673D994" w14:textId="77777777" w:rsidR="00D65725" w:rsidRDefault="00D65725">
      <w:r>
        <w:t xml:space="preserve"> </w:t>
      </w:r>
    </w:p>
  </w:endnote>
  <w:endnote w:type="continuationNotice" w:id="1">
    <w:p w14:paraId="556BC203" w14:textId="77777777" w:rsidR="00D65725" w:rsidRDefault="00D657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13E9" w14:textId="43599506" w:rsidR="00A34A6C" w:rsidRDefault="00A34A6C">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7A4D9B">
      <w:rPr>
        <w:rStyle w:val="PageNumber"/>
        <w:rFonts w:ascii="CG Times (W1)" w:hAnsi="CG Times (W1)"/>
        <w:b/>
        <w:noProof/>
      </w:rPr>
      <w:t>2</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7A4D9B">
      <w:rPr>
        <w:rStyle w:val="PageNumber"/>
        <w:b/>
        <w:noProof/>
      </w:rPr>
      <w:t>3</w:t>
    </w:r>
    <w:r>
      <w:rPr>
        <w:rStyle w:val="PageNumber"/>
        <w:b/>
      </w:rPr>
      <w:fldChar w:fldCharType="end"/>
    </w:r>
    <w:r>
      <w:rPr>
        <w:rStyle w:val="PageNumber"/>
        <w:b/>
      </w:rPr>
      <w:tab/>
    </w:r>
    <w:r w:rsidR="007A4D9B">
      <w:fldChar w:fldCharType="begin"/>
    </w:r>
    <w:r w:rsidR="007A4D9B">
      <w:instrText xml:space="preserve"> DOCPROPERTY  "Effective Date"  \* MERGEFORMAT </w:instrText>
    </w:r>
    <w:r w:rsidR="007A4D9B">
      <w:fldChar w:fldCharType="separate"/>
    </w:r>
    <w:r w:rsidRPr="007C18DF">
      <w:rPr>
        <w:b/>
      </w:rPr>
      <w:t>16 June 2020</w:t>
    </w:r>
    <w:r w:rsidR="007A4D9B">
      <w:rPr>
        <w:b/>
      </w:rPr>
      <w:fldChar w:fldCharType="end"/>
    </w:r>
  </w:p>
  <w:p w14:paraId="3613912F" w14:textId="77777777" w:rsidR="00A34A6C" w:rsidRDefault="00A34A6C">
    <w:pPr>
      <w:pStyle w:val="Footer"/>
      <w:tabs>
        <w:tab w:val="clear" w:pos="4320"/>
        <w:tab w:val="clear" w:pos="8640"/>
        <w:tab w:val="clear" w:pos="8784"/>
      </w:tabs>
      <w:jc w:val="center"/>
      <w:rPr>
        <w:b/>
      </w:rPr>
    </w:pPr>
    <w:r>
      <w:rPr>
        <w:rStyle w:val="PageNumber"/>
        <w:b/>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D2115" w14:textId="77777777" w:rsidR="00D65725" w:rsidRDefault="00D65725">
      <w:r>
        <w:separator/>
      </w:r>
    </w:p>
  </w:footnote>
  <w:footnote w:type="continuationSeparator" w:id="0">
    <w:p w14:paraId="6256DDDD" w14:textId="77777777" w:rsidR="00D65725" w:rsidRDefault="00D6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D0BA" w14:textId="77777777" w:rsidR="00A34A6C" w:rsidRDefault="00A34A6C">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r w:rsidR="007A4D9B">
      <w:fldChar w:fldCharType="begin"/>
    </w:r>
    <w:r w:rsidR="007A4D9B">
      <w:instrText xml:space="preserve"> DOCPROPERTY  "Version Number"  \* MERGEFORMAT </w:instrText>
    </w:r>
    <w:r w:rsidR="007A4D9B">
      <w:fldChar w:fldCharType="separate"/>
    </w:r>
    <w:r w:rsidRPr="007C18DF">
      <w:rPr>
        <w:b/>
        <w:spacing w:val="-3"/>
        <w:sz w:val="20"/>
      </w:rPr>
      <w:t>Version 20.0</w:t>
    </w:r>
    <w:r w:rsidR="007A4D9B">
      <w:rPr>
        <w:b/>
        <w:spacing w:val="-3"/>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8557E6"/>
    <w:multiLevelType w:val="hybridMultilevel"/>
    <w:tmpl w:val="CFC8E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8"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20"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93904"/>
    <w:multiLevelType w:val="singleLevel"/>
    <w:tmpl w:val="FFFFFFFF"/>
    <w:lvl w:ilvl="0">
      <w:numFmt w:val="decimal"/>
      <w:lvlText w:val="*"/>
      <w:lvlJc w:val="left"/>
    </w:lvl>
  </w:abstractNum>
  <w:abstractNum w:abstractNumId="22"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448A2328"/>
    <w:multiLevelType w:val="hybridMultilevel"/>
    <w:tmpl w:val="4EC42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4"/>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4"/>
  </w:num>
  <w:num w:numId="12">
    <w:abstractNumId w:val="17"/>
  </w:num>
  <w:num w:numId="13">
    <w:abstractNumId w:val="27"/>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2"/>
  </w:num>
  <w:num w:numId="16">
    <w:abstractNumId w:val="22"/>
  </w:num>
  <w:num w:numId="17">
    <w:abstractNumId w:val="28"/>
  </w:num>
  <w:num w:numId="18">
    <w:abstractNumId w:val="31"/>
  </w:num>
  <w:num w:numId="19">
    <w:abstractNumId w:val="15"/>
  </w:num>
  <w:num w:numId="20">
    <w:abstractNumId w:val="23"/>
  </w:num>
  <w:num w:numId="21">
    <w:abstractNumId w:val="30"/>
  </w:num>
  <w:num w:numId="22">
    <w:abstractNumId w:val="29"/>
  </w:num>
  <w:num w:numId="23">
    <w:abstractNumId w:val="19"/>
  </w:num>
  <w:num w:numId="24">
    <w:abstractNumId w:val="20"/>
  </w:num>
  <w:num w:numId="25">
    <w:abstractNumId w:val="9"/>
  </w:num>
  <w:num w:numId="26">
    <w:abstractNumId w:val="12"/>
  </w:num>
  <w:num w:numId="27">
    <w:abstractNumId w:val="14"/>
  </w:num>
  <w:num w:numId="28">
    <w:abstractNumId w:val="9"/>
  </w:num>
  <w:num w:numId="29">
    <w:abstractNumId w:val="11"/>
  </w:num>
  <w:num w:numId="30">
    <w:abstractNumId w:val="35"/>
  </w:num>
  <w:num w:numId="31">
    <w:abstractNumId w:val="21"/>
  </w:num>
  <w:num w:numId="32">
    <w:abstractNumId w:val="33"/>
  </w:num>
  <w:num w:numId="33">
    <w:abstractNumId w:val="18"/>
  </w:num>
  <w:num w:numId="34">
    <w:abstractNumId w:val="26"/>
  </w:num>
  <w:num w:numId="35">
    <w:abstractNumId w:val="13"/>
  </w:num>
  <w:num w:numId="36">
    <w:abstractNumId w:val="25"/>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10F9E"/>
    <w:rsid w:val="000167DE"/>
    <w:rsid w:val="000260A9"/>
    <w:rsid w:val="00035EDD"/>
    <w:rsid w:val="0009004E"/>
    <w:rsid w:val="00094A37"/>
    <w:rsid w:val="000B0253"/>
    <w:rsid w:val="000C1938"/>
    <w:rsid w:val="000C1F11"/>
    <w:rsid w:val="000E0813"/>
    <w:rsid w:val="000E3C39"/>
    <w:rsid w:val="00112FED"/>
    <w:rsid w:val="00114C19"/>
    <w:rsid w:val="00117A3F"/>
    <w:rsid w:val="00124CB5"/>
    <w:rsid w:val="0013221C"/>
    <w:rsid w:val="00142AA5"/>
    <w:rsid w:val="00145A55"/>
    <w:rsid w:val="0016616D"/>
    <w:rsid w:val="00196473"/>
    <w:rsid w:val="001D103A"/>
    <w:rsid w:val="001E0EEF"/>
    <w:rsid w:val="00207C10"/>
    <w:rsid w:val="002152CD"/>
    <w:rsid w:val="002207B8"/>
    <w:rsid w:val="00240334"/>
    <w:rsid w:val="00240846"/>
    <w:rsid w:val="00264311"/>
    <w:rsid w:val="00290D25"/>
    <w:rsid w:val="002914C6"/>
    <w:rsid w:val="002A55B2"/>
    <w:rsid w:val="002B1485"/>
    <w:rsid w:val="002C5787"/>
    <w:rsid w:val="002C5B92"/>
    <w:rsid w:val="002D0328"/>
    <w:rsid w:val="002D4304"/>
    <w:rsid w:val="002D66DD"/>
    <w:rsid w:val="002D7859"/>
    <w:rsid w:val="002D7CE2"/>
    <w:rsid w:val="002E1CC2"/>
    <w:rsid w:val="002E33DE"/>
    <w:rsid w:val="002F137D"/>
    <w:rsid w:val="002F5C54"/>
    <w:rsid w:val="002F6A80"/>
    <w:rsid w:val="002F6F0B"/>
    <w:rsid w:val="00304073"/>
    <w:rsid w:val="00311814"/>
    <w:rsid w:val="00317A3F"/>
    <w:rsid w:val="003366F4"/>
    <w:rsid w:val="00340C84"/>
    <w:rsid w:val="00357521"/>
    <w:rsid w:val="00362DDE"/>
    <w:rsid w:val="003850FD"/>
    <w:rsid w:val="0039508D"/>
    <w:rsid w:val="003A07B3"/>
    <w:rsid w:val="003B4D68"/>
    <w:rsid w:val="00404D88"/>
    <w:rsid w:val="0041182A"/>
    <w:rsid w:val="004355FD"/>
    <w:rsid w:val="00436F14"/>
    <w:rsid w:val="00464FFA"/>
    <w:rsid w:val="004705A9"/>
    <w:rsid w:val="00474439"/>
    <w:rsid w:val="004817CF"/>
    <w:rsid w:val="004D50BE"/>
    <w:rsid w:val="004F10B6"/>
    <w:rsid w:val="00506BC0"/>
    <w:rsid w:val="005119E1"/>
    <w:rsid w:val="00520BC0"/>
    <w:rsid w:val="0054168B"/>
    <w:rsid w:val="00543B9C"/>
    <w:rsid w:val="0054644A"/>
    <w:rsid w:val="00586BF5"/>
    <w:rsid w:val="005A48D7"/>
    <w:rsid w:val="005E1A31"/>
    <w:rsid w:val="005E3E62"/>
    <w:rsid w:val="00600D64"/>
    <w:rsid w:val="006062BC"/>
    <w:rsid w:val="00616770"/>
    <w:rsid w:val="00633EAC"/>
    <w:rsid w:val="00647338"/>
    <w:rsid w:val="006530F3"/>
    <w:rsid w:val="006825FF"/>
    <w:rsid w:val="006832DD"/>
    <w:rsid w:val="00690188"/>
    <w:rsid w:val="00695679"/>
    <w:rsid w:val="0069725D"/>
    <w:rsid w:val="006C1AC9"/>
    <w:rsid w:val="006D01F2"/>
    <w:rsid w:val="006D48AA"/>
    <w:rsid w:val="006E68DD"/>
    <w:rsid w:val="006F64AE"/>
    <w:rsid w:val="006F7B44"/>
    <w:rsid w:val="00725232"/>
    <w:rsid w:val="007363C4"/>
    <w:rsid w:val="00781759"/>
    <w:rsid w:val="00792823"/>
    <w:rsid w:val="00792B18"/>
    <w:rsid w:val="00793536"/>
    <w:rsid w:val="007A023E"/>
    <w:rsid w:val="007A0549"/>
    <w:rsid w:val="007A4D9B"/>
    <w:rsid w:val="007C18DF"/>
    <w:rsid w:val="007C71BE"/>
    <w:rsid w:val="007D4A2E"/>
    <w:rsid w:val="007E1BBA"/>
    <w:rsid w:val="007F220C"/>
    <w:rsid w:val="00811353"/>
    <w:rsid w:val="00822322"/>
    <w:rsid w:val="008318FB"/>
    <w:rsid w:val="008B6F92"/>
    <w:rsid w:val="00915A3C"/>
    <w:rsid w:val="00927367"/>
    <w:rsid w:val="00931A54"/>
    <w:rsid w:val="009359EA"/>
    <w:rsid w:val="00936E1C"/>
    <w:rsid w:val="00952D17"/>
    <w:rsid w:val="00960A98"/>
    <w:rsid w:val="009715FA"/>
    <w:rsid w:val="00973AC8"/>
    <w:rsid w:val="009801CC"/>
    <w:rsid w:val="00983759"/>
    <w:rsid w:val="00984DB5"/>
    <w:rsid w:val="00993E09"/>
    <w:rsid w:val="009A020B"/>
    <w:rsid w:val="009A2268"/>
    <w:rsid w:val="009A6A2D"/>
    <w:rsid w:val="009A77B9"/>
    <w:rsid w:val="009B002E"/>
    <w:rsid w:val="009B66C9"/>
    <w:rsid w:val="009E62FE"/>
    <w:rsid w:val="00A015E3"/>
    <w:rsid w:val="00A10311"/>
    <w:rsid w:val="00A3010F"/>
    <w:rsid w:val="00A34A6C"/>
    <w:rsid w:val="00A645C6"/>
    <w:rsid w:val="00A8283E"/>
    <w:rsid w:val="00A93DD3"/>
    <w:rsid w:val="00A93F1F"/>
    <w:rsid w:val="00AA798F"/>
    <w:rsid w:val="00AC5D9E"/>
    <w:rsid w:val="00AC7F78"/>
    <w:rsid w:val="00B10E48"/>
    <w:rsid w:val="00B16C90"/>
    <w:rsid w:val="00B35028"/>
    <w:rsid w:val="00B43F65"/>
    <w:rsid w:val="00B7396E"/>
    <w:rsid w:val="00B74FCA"/>
    <w:rsid w:val="00B9429F"/>
    <w:rsid w:val="00BB5A79"/>
    <w:rsid w:val="00BC753E"/>
    <w:rsid w:val="00BD1E53"/>
    <w:rsid w:val="00BD4C60"/>
    <w:rsid w:val="00BD72AF"/>
    <w:rsid w:val="00BF5C29"/>
    <w:rsid w:val="00C25ED3"/>
    <w:rsid w:val="00C4171C"/>
    <w:rsid w:val="00C4425D"/>
    <w:rsid w:val="00C56E96"/>
    <w:rsid w:val="00C611A6"/>
    <w:rsid w:val="00C93B0B"/>
    <w:rsid w:val="00CA69E7"/>
    <w:rsid w:val="00CA7E8E"/>
    <w:rsid w:val="00CB3392"/>
    <w:rsid w:val="00CB67E8"/>
    <w:rsid w:val="00D32257"/>
    <w:rsid w:val="00D421B2"/>
    <w:rsid w:val="00D445FC"/>
    <w:rsid w:val="00D53593"/>
    <w:rsid w:val="00D6146E"/>
    <w:rsid w:val="00D65725"/>
    <w:rsid w:val="00D87075"/>
    <w:rsid w:val="00D93AB1"/>
    <w:rsid w:val="00DA1DD8"/>
    <w:rsid w:val="00DC1A9D"/>
    <w:rsid w:val="00DF36DC"/>
    <w:rsid w:val="00DF43CB"/>
    <w:rsid w:val="00E0384F"/>
    <w:rsid w:val="00E05239"/>
    <w:rsid w:val="00E10680"/>
    <w:rsid w:val="00E11793"/>
    <w:rsid w:val="00E60C38"/>
    <w:rsid w:val="00E77CB6"/>
    <w:rsid w:val="00EB4964"/>
    <w:rsid w:val="00ED025A"/>
    <w:rsid w:val="00EE4189"/>
    <w:rsid w:val="00F0511F"/>
    <w:rsid w:val="00F10657"/>
    <w:rsid w:val="00F35A23"/>
    <w:rsid w:val="00F70CFE"/>
    <w:rsid w:val="00F85914"/>
    <w:rsid w:val="00FA46ED"/>
    <w:rsid w:val="00FB165D"/>
    <w:rsid w:val="00FC518D"/>
    <w:rsid w:val="00FD0245"/>
    <w:rsid w:val="00FD3D82"/>
    <w:rsid w:val="00FE6839"/>
    <w:rsid w:val="07894133"/>
    <w:rsid w:val="0806716C"/>
    <w:rsid w:val="08DEFFB5"/>
    <w:rsid w:val="09BB7323"/>
    <w:rsid w:val="09EEBAA2"/>
    <w:rsid w:val="0C09E1FF"/>
    <w:rsid w:val="0CF5DAE2"/>
    <w:rsid w:val="11AB9339"/>
    <w:rsid w:val="126549DD"/>
    <w:rsid w:val="12707863"/>
    <w:rsid w:val="14C34C28"/>
    <w:rsid w:val="153E1830"/>
    <w:rsid w:val="16C2CC5B"/>
    <w:rsid w:val="1C6B042D"/>
    <w:rsid w:val="1D7E5901"/>
    <w:rsid w:val="224352B4"/>
    <w:rsid w:val="23D8B3CB"/>
    <w:rsid w:val="2564AFE8"/>
    <w:rsid w:val="28959D17"/>
    <w:rsid w:val="2B19570F"/>
    <w:rsid w:val="2BB4EB42"/>
    <w:rsid w:val="30B8DACB"/>
    <w:rsid w:val="33A63856"/>
    <w:rsid w:val="34D30781"/>
    <w:rsid w:val="36B1FB30"/>
    <w:rsid w:val="3F564BE7"/>
    <w:rsid w:val="405367BE"/>
    <w:rsid w:val="422280C0"/>
    <w:rsid w:val="431B0B6D"/>
    <w:rsid w:val="44CC62EE"/>
    <w:rsid w:val="4737C4E1"/>
    <w:rsid w:val="47D0929B"/>
    <w:rsid w:val="4CF904AA"/>
    <w:rsid w:val="4E28A216"/>
    <w:rsid w:val="4F95E15E"/>
    <w:rsid w:val="53A919D0"/>
    <w:rsid w:val="5539C02A"/>
    <w:rsid w:val="5805C74F"/>
    <w:rsid w:val="597795E0"/>
    <w:rsid w:val="5A71EFD6"/>
    <w:rsid w:val="5AEB0864"/>
    <w:rsid w:val="5B9B0358"/>
    <w:rsid w:val="5C7A148B"/>
    <w:rsid w:val="5C7C51EC"/>
    <w:rsid w:val="5C89DA81"/>
    <w:rsid w:val="613C9986"/>
    <w:rsid w:val="655A10E1"/>
    <w:rsid w:val="66233432"/>
    <w:rsid w:val="66F5E142"/>
    <w:rsid w:val="679B6BA4"/>
    <w:rsid w:val="6AA4E6D3"/>
    <w:rsid w:val="6B0919B4"/>
    <w:rsid w:val="6B187E0E"/>
    <w:rsid w:val="6C77F68D"/>
    <w:rsid w:val="6CEBA671"/>
    <w:rsid w:val="6ECBA473"/>
    <w:rsid w:val="70C1B715"/>
    <w:rsid w:val="70F9C888"/>
    <w:rsid w:val="7144CD40"/>
    <w:rsid w:val="71C2EAFB"/>
    <w:rsid w:val="783A0544"/>
    <w:rsid w:val="7D99C01A"/>
    <w:rsid w:val="7E11D5C9"/>
    <w:rsid w:val="7F01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7B99C60"/>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csd/code-of-practice-2-the-metering-of-circuits-with-a-rated-capacity-not-exceeding-100-mva-for-settlement-purposes/" TargetMode="External"/><Relationship Id="rId18" Type="http://schemas.openxmlformats.org/officeDocument/2006/relationships/hyperlink" Target="https://www.elexon.co.uk/smg-issue/issue-93/" TargetMode="External"/><Relationship Id="R8288e08f47e84f64"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lexon.co.uk/csd/cop-code-of-practice-1/" TargetMode="External"/><Relationship Id="rId17" Type="http://schemas.openxmlformats.org/officeDocument/2006/relationships/hyperlink" Target="https://www.elexon.co.uk/csd/code-of-practice-2-the-metering-of-circuits-with-a-rated-capacity-not-exceeding-100-mva-for-settlement-purposes/" TargetMode="External"/><Relationship Id="rId2" Type="http://schemas.openxmlformats.org/officeDocument/2006/relationships/customXml" Target="../customXml/item2.xml"/><Relationship Id="rId16" Type="http://schemas.openxmlformats.org/officeDocument/2006/relationships/hyperlink" Target="https://www.elexon.co.uk/csd/cop-code-of-practice-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smg-issue/issue-93/" TargetMode="External"/><Relationship Id="rId5" Type="http://schemas.openxmlformats.org/officeDocument/2006/relationships/numbering" Target="numbering.xml"/><Relationship Id="rId15" Type="http://schemas.openxmlformats.org/officeDocument/2006/relationships/hyperlink" Target="https://www.elexon.co.uk/the-bsc/bsc-section-l-meter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xon.co.uk/documents/operations-settlement/trading-disputes-decisions/register-of-determinations/" TargetMode="External"/><Relationship Id="rId22" Type="http://schemas.openxmlformats.org/officeDocument/2006/relationships/theme" Target="theme/theme1.xml"/><Relationship Id="Rc4ff6ca97f87491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A923-326E-4D44-8022-FB2D9F98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79609-60F4-42B3-9D3E-15726B4D64EF}">
  <ds:schemaRefs>
    <ds:schemaRef ds:uri="http://schemas.openxmlformats.org/package/2006/metadata/core-properties"/>
    <ds:schemaRef ds:uri="http://schemas.microsoft.com/office/2006/documentManagement/types"/>
    <ds:schemaRef ds:uri="http://schemas.microsoft.com/office/infopath/2007/PartnerControls"/>
    <ds:schemaRef ds:uri="94222f57-d223-4504-931f-d4f2be84291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4.xml><?xml version="1.0" encoding="utf-8"?>
<ds:datastoreItem xmlns:ds="http://schemas.openxmlformats.org/officeDocument/2006/customXml" ds:itemID="{6907FB4E-C6FE-404C-840C-F414B939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5147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BSCP40,Change,Management,Modification,Change,Proposal</cp:keywords>
  <cp:lastModifiedBy>Stanley Dikeocha</cp:lastModifiedBy>
  <cp:revision>4</cp:revision>
  <cp:lastPrinted>2019-03-28T09:06:00Z</cp:lastPrinted>
  <dcterms:created xsi:type="dcterms:W3CDTF">2021-09-21T14:16:00Z</dcterms:created>
  <dcterms:modified xsi:type="dcterms:W3CDTF">2021-10-06T10:33:00Z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16 June 2020</vt:lpwstr>
  </property>
  <property fmtid="{D5CDD505-2E9C-101B-9397-08002B2CF9AE}" pid="3" name="Version Number">
    <vt:lpwstr>Version 20.0</vt:lpwstr>
  </property>
  <property fmtid="{D5CDD505-2E9C-101B-9397-08002B2CF9AE}" pid="4" name="ContentTypeId">
    <vt:lpwstr>0x0101007FC8D8AC803AD04E81581A734F970BC7</vt:lpwstr>
  </property>
</Properties>
</file>